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rPr>
          <w:rFonts w:hint="eastAsia" w:ascii="方正小标宋简体" w:eastAsia="方正小标宋简体"/>
          <w:spacing w:val="-4"/>
          <w:sz w:val="44"/>
          <w:szCs w:val="44"/>
        </w:rPr>
      </w:pPr>
      <w:r>
        <w:rPr>
          <w:rFonts w:hint="eastAsia" w:ascii="方正小标宋简体" w:eastAsia="方正小标宋简体"/>
          <w:spacing w:val="-4"/>
          <w:sz w:val="44"/>
          <w:szCs w:val="44"/>
        </w:rPr>
        <w:t>关于《广交会温州分团展位申请、分配</w:t>
      </w:r>
    </w:p>
    <w:p>
      <w:pPr>
        <w:pStyle w:val="2"/>
        <w:snapToGrid w:val="0"/>
        <w:spacing w:line="560" w:lineRule="exact"/>
        <w:rPr>
          <w:rFonts w:hint="eastAsia" w:ascii="仿宋" w:hAnsi="仿宋" w:eastAsia="仿宋" w:cs="宋体"/>
          <w:b/>
          <w:spacing w:val="50"/>
          <w:sz w:val="36"/>
          <w:szCs w:val="36"/>
          <w:lang w:eastAsia="zh-CN"/>
        </w:rPr>
      </w:pPr>
      <w:r>
        <w:rPr>
          <w:rFonts w:hint="eastAsia" w:ascii="方正小标宋简体" w:eastAsia="方正小标宋简体"/>
          <w:spacing w:val="-4"/>
          <w:sz w:val="44"/>
          <w:szCs w:val="44"/>
        </w:rPr>
        <w:t>和管理办法》的起草说明</w:t>
      </w:r>
    </w:p>
    <w:p>
      <w:pPr>
        <w:pStyle w:val="3"/>
        <w:rPr>
          <w:rFonts w:hint="eastAsia"/>
          <w:lang w:eastAsia="zh-CN"/>
        </w:rPr>
      </w:pPr>
    </w:p>
    <w:p>
      <w:pPr>
        <w:numPr>
          <w:ilvl w:val="0"/>
          <w:numId w:val="1"/>
        </w:numPr>
        <w:snapToGrid w:val="0"/>
        <w:spacing w:line="560" w:lineRule="exact"/>
        <w:ind w:firstLine="624" w:firstLineChars="200"/>
        <w:rPr>
          <w:rFonts w:ascii="黑体" w:hAnsi="黑体" w:eastAsia="黑体"/>
          <w:spacing w:val="-4"/>
          <w:sz w:val="32"/>
          <w:szCs w:val="32"/>
        </w:rPr>
      </w:pPr>
      <w:r>
        <w:rPr>
          <w:rFonts w:ascii="黑体" w:hAnsi="黑体" w:eastAsia="黑体"/>
          <w:spacing w:val="-4"/>
          <w:sz w:val="32"/>
          <w:szCs w:val="32"/>
        </w:rPr>
        <w:t>起草背景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广交会又称中国出口商品交易会，创办于1957年春季，每年春秋两季在广州举办，迄今已有四十余年历史，是中国目前历史最长、层次最高、规模最大、商品种类最全、到会客商最多、成交效果最好的综合性国际贸易盛会。在会展经济风起云涌的今天，广交会仍是一张最能吸引世界各地客商眼球的中国会展“名片”。自1957年起至1978年，广交会是我国唯一的对外贸易窗口，至今仍是我国规模最大、层次最高、商品种类最全、到会客商最多、成交效果最好的综合性国际贸易盛会，直接促进了我国出口持续稳定发展，在我国对外开放战略中发挥了令人瞩目的积极作用，成为我国外贸出口的晴雨表。</w:t>
      </w:r>
      <w:r>
        <w:rPr>
          <w:rFonts w:hint="eastAsia" w:ascii="仿宋_GB2312" w:hAnsi="仿宋" w:eastAsia="仿宋_GB2312"/>
          <w:color w:val="auto"/>
          <w:sz w:val="32"/>
          <w:szCs w:val="32"/>
          <w:lang w:eastAsia="zh-CN"/>
        </w:rPr>
        <w:t>我市外贸出口企业对广交会的需求量较大，但受限于我市广交会展位数量，始终无法满足所有需求企业。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仿宋"/>
          <w:snapToGrid w:val="0"/>
          <w:color w:val="000000"/>
          <w:sz w:val="32"/>
          <w:szCs w:val="32"/>
        </w:rPr>
      </w:pPr>
      <w:r>
        <w:rPr>
          <w:rFonts w:hint="eastAsia" w:ascii="仿宋_GB2312" w:hAnsi="仿宋" w:eastAsia="仿宋_GB2312"/>
          <w:color w:val="auto"/>
          <w:sz w:val="32"/>
          <w:szCs w:val="32"/>
        </w:rPr>
        <w:t>为进一步规范和完善广交会温州分团展位</w:t>
      </w:r>
      <w:r>
        <w:rPr>
          <w:rFonts w:hint="eastAsia" w:ascii="仿宋_GB2312" w:hAnsi="仿宋" w:eastAsia="仿宋_GB2312"/>
          <w:color w:val="auto"/>
          <w:sz w:val="32"/>
          <w:szCs w:val="32"/>
          <w:lang w:eastAsia="zh-CN"/>
        </w:rPr>
        <w:t>申请、分配和</w:t>
      </w:r>
      <w:r>
        <w:rPr>
          <w:rFonts w:hint="eastAsia" w:ascii="仿宋_GB2312" w:hAnsi="仿宋" w:eastAsia="仿宋_GB2312"/>
          <w:color w:val="auto"/>
          <w:sz w:val="32"/>
          <w:szCs w:val="32"/>
        </w:rPr>
        <w:t>管理，优化参展企业和参展商品结构，充分发挥广交会对我市外贸发展的积极作用，推进对外贸易转型升级</w:t>
      </w:r>
      <w:r>
        <w:rPr>
          <w:rFonts w:hint="eastAsia" w:ascii="仿宋_GB2312" w:hAnsi="仿宋" w:eastAsia="仿宋_GB2312" w:cs="仿宋_GB2312"/>
          <w:color w:val="auto"/>
          <w:sz w:val="32"/>
          <w:szCs w:val="32"/>
        </w:rPr>
        <w:t>，根据</w:t>
      </w:r>
      <w:r>
        <w:rPr>
          <w:rFonts w:hint="eastAsia" w:ascii="仿宋_GB2312" w:hAnsi="仿宋" w:eastAsia="仿宋_GB2312"/>
          <w:color w:val="auto"/>
          <w:sz w:val="32"/>
          <w:szCs w:val="32"/>
        </w:rPr>
        <w:t>《商务部办公厅关于印发〈中国进出口商品交易会出口展展位使用管理规定〉的通知》（商办贸字〔2013〕150号）</w:t>
      </w:r>
      <w:r>
        <w:rPr>
          <w:rFonts w:hint="eastAsia" w:ascii="仿宋_GB2312" w:hAnsi="仿宋" w:eastAsia="仿宋_GB2312" w:cs="仿宋_GB2312"/>
          <w:color w:val="auto"/>
          <w:sz w:val="32"/>
          <w:szCs w:val="32"/>
        </w:rPr>
        <w:t>和</w:t>
      </w:r>
      <w:r>
        <w:rPr>
          <w:rFonts w:hint="eastAsia" w:ascii="仿宋_GB2312" w:hAnsi="仿宋" w:eastAsia="仿宋_GB2312" w:cs="仿宋_GB2312"/>
          <w:color w:val="auto"/>
          <w:sz w:val="32"/>
          <w:szCs w:val="32"/>
          <w:lang w:eastAsia="zh-CN"/>
        </w:rPr>
        <w:t>广交会浙江省交易团</w:t>
      </w:r>
      <w:r>
        <w:rPr>
          <w:rFonts w:hint="eastAsia" w:ascii="仿宋_GB2312" w:hAnsi="仿宋" w:eastAsia="仿宋_GB2312" w:cs="仿宋_GB2312"/>
          <w:color w:val="auto"/>
          <w:sz w:val="32"/>
          <w:szCs w:val="32"/>
        </w:rPr>
        <w:t>有关</w:t>
      </w:r>
      <w:r>
        <w:rPr>
          <w:rFonts w:hint="eastAsia" w:ascii="仿宋_GB2312" w:hAnsi="仿宋" w:eastAsia="仿宋_GB2312"/>
          <w:color w:val="auto"/>
          <w:sz w:val="32"/>
          <w:szCs w:val="32"/>
        </w:rPr>
        <w:t>要求，</w:t>
      </w:r>
      <w:r>
        <w:rPr>
          <w:rFonts w:hint="eastAsia" w:ascii="仿宋_GB2312" w:hAnsi="仿宋" w:eastAsia="仿宋_GB2312" w:cs="仿宋_GB2312"/>
          <w:color w:val="auto"/>
          <w:sz w:val="32"/>
          <w:szCs w:val="32"/>
        </w:rPr>
        <w:t>按照“公开、公正、公平”的原则，坚持创新扶优、统筹协调的发展思路，特制定本办法。</w:t>
      </w:r>
      <w:r>
        <w:rPr>
          <w:rFonts w:hint="eastAsia" w:ascii="仿宋" w:hAnsi="仿宋" w:eastAsia="仿宋" w:cs="仿宋"/>
          <w:snapToGrid w:val="0"/>
          <w:color w:val="000000"/>
          <w:sz w:val="32"/>
          <w:szCs w:val="32"/>
        </w:rPr>
        <w:t>202</w:t>
      </w:r>
      <w:r>
        <w:rPr>
          <w:rFonts w:hint="eastAsia" w:ascii="仿宋" w:hAnsi="仿宋" w:eastAsia="仿宋" w:cs="仿宋"/>
          <w:snapToGrid w:val="0"/>
          <w:color w:val="000000"/>
          <w:sz w:val="32"/>
          <w:szCs w:val="32"/>
          <w:lang w:val="en-US" w:eastAsia="zh-CN"/>
        </w:rPr>
        <w:t>2</w:t>
      </w:r>
      <w:r>
        <w:rPr>
          <w:rFonts w:hint="eastAsia" w:ascii="仿宋" w:hAnsi="仿宋" w:eastAsia="仿宋" w:cs="仿宋"/>
          <w:snapToGrid w:val="0"/>
          <w:color w:val="000000"/>
          <w:sz w:val="32"/>
          <w:szCs w:val="32"/>
        </w:rPr>
        <w:t>年</w:t>
      </w:r>
      <w:r>
        <w:rPr>
          <w:rFonts w:hint="eastAsia" w:ascii="仿宋" w:hAnsi="仿宋" w:eastAsia="仿宋" w:cs="仿宋"/>
          <w:snapToGrid w:val="0"/>
          <w:color w:val="000000"/>
          <w:sz w:val="32"/>
          <w:szCs w:val="32"/>
          <w:lang w:val="en-US" w:eastAsia="zh-CN"/>
        </w:rPr>
        <w:t>1</w:t>
      </w:r>
      <w:r>
        <w:rPr>
          <w:rFonts w:hint="eastAsia" w:ascii="仿宋" w:hAnsi="仿宋" w:eastAsia="仿宋" w:cs="仿宋"/>
          <w:snapToGrid w:val="0"/>
          <w:color w:val="000000"/>
          <w:sz w:val="32"/>
          <w:szCs w:val="32"/>
        </w:rPr>
        <w:t>月</w:t>
      </w:r>
      <w:r>
        <w:rPr>
          <w:rFonts w:hint="eastAsia" w:ascii="仿宋" w:hAnsi="仿宋" w:eastAsia="仿宋" w:cs="仿宋"/>
          <w:snapToGrid w:val="0"/>
          <w:color w:val="000000"/>
          <w:sz w:val="32"/>
          <w:szCs w:val="32"/>
          <w:lang w:val="en-US" w:eastAsia="zh-CN"/>
        </w:rPr>
        <w:t>6</w:t>
      </w:r>
      <w:r>
        <w:rPr>
          <w:rFonts w:hint="eastAsia" w:ascii="仿宋" w:hAnsi="仿宋" w:eastAsia="仿宋" w:cs="仿宋"/>
          <w:snapToGrid w:val="0"/>
          <w:color w:val="000000"/>
          <w:sz w:val="32"/>
          <w:szCs w:val="32"/>
        </w:rPr>
        <w:t>日，向相关部门征求意见，并根据反馈意见</w:t>
      </w:r>
      <w:r>
        <w:rPr>
          <w:rFonts w:hint="eastAsia" w:ascii="仿宋" w:hAnsi="仿宋" w:eastAsia="仿宋" w:cs="仿宋"/>
          <w:snapToGrid w:val="0"/>
          <w:color w:val="000000"/>
          <w:sz w:val="32"/>
          <w:szCs w:val="32"/>
          <w:lang w:val="en-US" w:eastAsia="zh-CN"/>
        </w:rPr>
        <w:t>进行</w:t>
      </w:r>
      <w:r>
        <w:rPr>
          <w:rFonts w:hint="eastAsia" w:ascii="仿宋" w:hAnsi="仿宋" w:eastAsia="仿宋" w:cs="仿宋"/>
          <w:snapToGrid w:val="0"/>
          <w:color w:val="000000"/>
          <w:sz w:val="32"/>
          <w:szCs w:val="32"/>
        </w:rPr>
        <w:t>修订。</w:t>
      </w:r>
    </w:p>
    <w:p>
      <w:pPr>
        <w:snapToGrid w:val="0"/>
        <w:spacing w:line="560" w:lineRule="exact"/>
        <w:ind w:firstLine="624" w:firstLineChars="200"/>
        <w:rPr>
          <w:rFonts w:ascii="黑体" w:hAnsi="黑体" w:eastAsia="黑体"/>
          <w:spacing w:val="-4"/>
          <w:sz w:val="32"/>
          <w:szCs w:val="32"/>
        </w:rPr>
      </w:pPr>
      <w:r>
        <w:rPr>
          <w:rFonts w:hint="eastAsia" w:ascii="黑体" w:hAnsi="黑体" w:eastAsia="黑体"/>
          <w:spacing w:val="-4"/>
          <w:sz w:val="32"/>
          <w:szCs w:val="32"/>
        </w:rPr>
        <w:t>二、起草原则</w:t>
      </w:r>
    </w:p>
    <w:p>
      <w:pPr>
        <w:pStyle w:val="2"/>
        <w:snapToGrid w:val="0"/>
        <w:spacing w:line="560" w:lineRule="exact"/>
        <w:rPr>
          <w:rFonts w:hint="eastAsia" w:ascii="仿宋_GB2312" w:hAnsi="仿宋" w:eastAsia="仿宋_GB2312" w:cs="仿宋_GB2312"/>
          <w:color w:val="auto"/>
          <w:sz w:val="32"/>
          <w:szCs w:val="32"/>
          <w:lang w:eastAsia="zh-CN"/>
        </w:rPr>
      </w:pPr>
      <w:r>
        <w:rPr>
          <w:rFonts w:hint="eastAsia" w:ascii="楷体_GB2312" w:eastAsia="楷体_GB2312"/>
          <w:spacing w:val="-4"/>
          <w:sz w:val="32"/>
          <w:szCs w:val="32"/>
          <w:lang w:val="en-US" w:eastAsia="zh-CN"/>
        </w:rPr>
        <w:t xml:space="preserve">  </w:t>
      </w:r>
      <w:r>
        <w:rPr>
          <w:rFonts w:hint="eastAsia" w:ascii="楷体_GB2312" w:eastAsia="楷体_GB2312"/>
          <w:spacing w:val="-4"/>
          <w:sz w:val="32"/>
          <w:szCs w:val="32"/>
        </w:rPr>
        <w:t>（一）坚持政策衔接性。</w:t>
      </w:r>
      <w:r>
        <w:rPr>
          <w:rFonts w:hint="eastAsia" w:ascii="仿宋_GB2312" w:hAnsi="仿宋" w:eastAsia="仿宋_GB2312" w:cs="仿宋_GB2312"/>
          <w:color w:val="auto"/>
          <w:sz w:val="32"/>
          <w:szCs w:val="32"/>
        </w:rPr>
        <w:t>根据</w:t>
      </w:r>
      <w:r>
        <w:rPr>
          <w:rFonts w:hint="eastAsia" w:ascii="仿宋_GB2312" w:hAnsi="仿宋" w:eastAsia="仿宋_GB2312"/>
          <w:color w:val="auto"/>
          <w:sz w:val="32"/>
          <w:szCs w:val="32"/>
        </w:rPr>
        <w:t>《商务部办公厅关于印发〈中国进出口商品交易会出口展展位使用管理规定〉的通知》（商办贸字〔2013〕150号）</w:t>
      </w:r>
      <w:r>
        <w:rPr>
          <w:rFonts w:hint="eastAsia" w:ascii="仿宋_GB2312" w:hAnsi="仿宋" w:eastAsia="仿宋_GB2312" w:cs="仿宋_GB2312"/>
          <w:color w:val="auto"/>
          <w:sz w:val="32"/>
          <w:szCs w:val="32"/>
        </w:rPr>
        <w:t>和</w:t>
      </w:r>
      <w:r>
        <w:rPr>
          <w:rFonts w:hint="eastAsia" w:ascii="仿宋_GB2312" w:hAnsi="仿宋" w:eastAsia="仿宋_GB2312" w:cs="仿宋_GB2312"/>
          <w:color w:val="auto"/>
          <w:sz w:val="32"/>
          <w:szCs w:val="32"/>
          <w:lang w:eastAsia="zh-CN"/>
        </w:rPr>
        <w:t>广交会浙江省交易团</w:t>
      </w:r>
      <w:r>
        <w:rPr>
          <w:rFonts w:hint="eastAsia" w:ascii="仿宋_GB2312" w:hAnsi="仿宋" w:eastAsia="仿宋_GB2312" w:cs="仿宋_GB2312"/>
          <w:color w:val="auto"/>
          <w:sz w:val="32"/>
          <w:szCs w:val="32"/>
        </w:rPr>
        <w:t>有关</w:t>
      </w:r>
      <w:r>
        <w:rPr>
          <w:rFonts w:hint="eastAsia" w:ascii="仿宋_GB2312" w:hAnsi="仿宋" w:eastAsia="仿宋_GB2312"/>
          <w:color w:val="auto"/>
          <w:sz w:val="32"/>
          <w:szCs w:val="32"/>
        </w:rPr>
        <w:t>要求，</w:t>
      </w:r>
      <w:r>
        <w:rPr>
          <w:rFonts w:hint="eastAsia" w:ascii="仿宋_GB2312" w:hAnsi="仿宋" w:eastAsia="仿宋_GB2312" w:cs="仿宋_GB2312"/>
          <w:color w:val="auto"/>
          <w:sz w:val="32"/>
          <w:szCs w:val="32"/>
        </w:rPr>
        <w:t>按照“公开、公正、公平”的原则，坚持创新扶优、统筹协调的发展思路</w:t>
      </w:r>
      <w:r>
        <w:rPr>
          <w:rFonts w:hint="eastAsia" w:ascii="仿宋_GB2312" w:hAnsi="仿宋" w:eastAsia="仿宋_GB2312" w:cs="仿宋_GB2312"/>
          <w:color w:val="auto"/>
          <w:sz w:val="32"/>
          <w:szCs w:val="32"/>
          <w:lang w:eastAsia="zh-CN"/>
        </w:rPr>
        <w:t>。</w:t>
      </w:r>
    </w:p>
    <w:p>
      <w:pPr>
        <w:pStyle w:val="2"/>
        <w:snapToGrid w:val="0"/>
        <w:spacing w:line="560" w:lineRule="exact"/>
        <w:jc w:val="left"/>
        <w:rPr>
          <w:rFonts w:hint="eastAsia" w:ascii="仿宋" w:hAnsi="仿宋" w:eastAsia="仿宋" w:cs="仿宋"/>
          <w:spacing w:val="-4"/>
          <w:sz w:val="32"/>
          <w:szCs w:val="32"/>
        </w:rPr>
      </w:pPr>
      <w:r>
        <w:rPr>
          <w:rFonts w:hint="eastAsia" w:ascii="楷体_GB2312" w:eastAsia="楷体_GB2312"/>
          <w:spacing w:val="-4"/>
          <w:sz w:val="32"/>
          <w:szCs w:val="32"/>
          <w:lang w:val="en-US" w:eastAsia="zh-CN"/>
        </w:rPr>
        <w:t xml:space="preserve">  </w:t>
      </w:r>
      <w:r>
        <w:rPr>
          <w:rFonts w:hint="eastAsia" w:ascii="楷体_GB2312" w:eastAsia="楷体_GB2312"/>
          <w:spacing w:val="-4"/>
          <w:sz w:val="32"/>
          <w:szCs w:val="32"/>
        </w:rPr>
        <w:t>（二）坚持政策科学性。</w:t>
      </w:r>
      <w:r>
        <w:rPr>
          <w:rFonts w:hint="eastAsia" w:ascii="仿宋" w:hAnsi="仿宋" w:eastAsia="仿宋" w:cs="仿宋"/>
          <w:spacing w:val="-4"/>
          <w:sz w:val="32"/>
          <w:szCs w:val="32"/>
        </w:rPr>
        <w:t>本意见参考了</w:t>
      </w:r>
      <w:r>
        <w:rPr>
          <w:rFonts w:hint="eastAsia" w:ascii="仿宋" w:hAnsi="仿宋" w:eastAsia="仿宋" w:cs="仿宋"/>
          <w:spacing w:val="-4"/>
          <w:sz w:val="32"/>
          <w:szCs w:val="32"/>
          <w:lang w:eastAsia="zh-CN"/>
        </w:rPr>
        <w:t>台州、金华</w:t>
      </w:r>
      <w:r>
        <w:rPr>
          <w:rFonts w:hint="eastAsia" w:ascii="仿宋" w:hAnsi="仿宋" w:eastAsia="仿宋" w:cs="仿宋"/>
          <w:spacing w:val="-4"/>
          <w:sz w:val="32"/>
          <w:szCs w:val="32"/>
        </w:rPr>
        <w:t>等兄弟市县的</w:t>
      </w:r>
      <w:r>
        <w:rPr>
          <w:rFonts w:hint="eastAsia" w:ascii="仿宋" w:hAnsi="仿宋" w:eastAsia="仿宋" w:cs="仿宋"/>
          <w:spacing w:val="-4"/>
          <w:sz w:val="32"/>
          <w:szCs w:val="32"/>
          <w:lang w:eastAsia="zh-CN"/>
        </w:rPr>
        <w:t>展位</w:t>
      </w:r>
      <w:r>
        <w:rPr>
          <w:rFonts w:hint="eastAsia" w:ascii="仿宋" w:hAnsi="仿宋" w:eastAsia="仿宋" w:cs="仿宋"/>
          <w:spacing w:val="-4"/>
          <w:sz w:val="32"/>
          <w:szCs w:val="32"/>
        </w:rPr>
        <w:t>展位申请、分配和管理办法</w:t>
      </w:r>
      <w:r>
        <w:rPr>
          <w:rFonts w:hint="eastAsia" w:ascii="仿宋" w:hAnsi="仿宋" w:eastAsia="仿宋" w:cs="仿宋"/>
          <w:spacing w:val="-4"/>
          <w:sz w:val="32"/>
          <w:szCs w:val="32"/>
          <w:lang w:eastAsia="zh-CN"/>
        </w:rPr>
        <w:t>，结合了温州展位基数结构和企业需求，进行了相关调整</w:t>
      </w:r>
      <w:r>
        <w:rPr>
          <w:rFonts w:hint="eastAsia" w:ascii="仿宋" w:hAnsi="仿宋" w:eastAsia="仿宋" w:cs="仿宋"/>
          <w:spacing w:val="-4"/>
          <w:sz w:val="32"/>
          <w:szCs w:val="32"/>
        </w:rPr>
        <w:t>，提高了政策科学性。</w:t>
      </w:r>
    </w:p>
    <w:p>
      <w:pPr>
        <w:snapToGrid w:val="0"/>
        <w:spacing w:line="560" w:lineRule="exact"/>
        <w:ind w:firstLine="624" w:firstLineChars="200"/>
        <w:rPr>
          <w:rFonts w:ascii="黑体" w:hAnsi="黑体" w:eastAsia="黑体"/>
          <w:color w:val="0000FF"/>
          <w:spacing w:val="-4"/>
          <w:sz w:val="32"/>
          <w:szCs w:val="32"/>
        </w:rPr>
      </w:pPr>
      <w:r>
        <w:rPr>
          <w:rFonts w:hint="eastAsia" w:ascii="黑体" w:hAnsi="黑体" w:eastAsia="黑体"/>
          <w:spacing w:val="-4"/>
          <w:sz w:val="32"/>
          <w:szCs w:val="32"/>
        </w:rPr>
        <w:t>三、主要内容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展位申请条件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（一）依法取得法人营业执照和外贸经营者备案登记证明，并已办理进出口企业代码。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（二）广交会统计口径下企业年出口金额须达到以下最低标准：流通型150万美元，非流通型（生产型）75万美元。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val="0"/>
          <w:bCs w:val="0"/>
          <w:color w:val="auto"/>
          <w:sz w:val="32"/>
          <w:szCs w:val="32"/>
          <w:lang w:val="zh-CN"/>
        </w:rPr>
        <w:t>（三）参展企业须承诺接受和遵守广交会出口展的有关条款和管理规定，包括《广交会出口展展位使用责任书》《</w:t>
      </w:r>
      <w:r>
        <w:rPr>
          <w:rFonts w:hint="eastAsia" w:ascii="仿宋_GB2312" w:hAnsi="仿宋_GB2312" w:eastAsia="仿宋_GB2312" w:cs="仿宋_GB2312"/>
          <w:b w:val="0"/>
          <w:bCs w:val="0"/>
          <w:color w:val="auto"/>
        </w:rPr>
        <w:fldChar w:fldCharType="begin"/>
      </w:r>
      <w:r>
        <w:rPr>
          <w:rFonts w:hint="eastAsia" w:ascii="仿宋_GB2312" w:hAnsi="仿宋_GB2312" w:eastAsia="仿宋_GB2312" w:cs="仿宋_GB2312"/>
          <w:b w:val="0"/>
          <w:bCs w:val="0"/>
          <w:color w:val="auto"/>
        </w:rPr>
        <w:instrText xml:space="preserve"> HYPERLINK "http://www.cantonfair.org.cn/html/cantonfair/cn/exhibitor/2012-09/43.shtml" \t "_blank" </w:instrText>
      </w:r>
      <w:r>
        <w:rPr>
          <w:rFonts w:hint="eastAsia" w:ascii="仿宋_GB2312" w:hAnsi="仿宋_GB2312" w:eastAsia="仿宋_GB2312" w:cs="仿宋_GB2312"/>
          <w:b w:val="0"/>
          <w:bCs w:val="0"/>
          <w:color w:val="auto"/>
        </w:rPr>
        <w:fldChar w:fldCharType="separate"/>
      </w:r>
      <w:r>
        <w:rPr>
          <w:rFonts w:hint="eastAsia" w:ascii="仿宋_GB2312" w:hAnsi="仿宋_GB2312" w:eastAsia="仿宋_GB2312" w:cs="仿宋_GB2312"/>
          <w:b w:val="0"/>
          <w:bCs w:val="0"/>
          <w:color w:val="auto"/>
          <w:sz w:val="32"/>
          <w:szCs w:val="32"/>
          <w:lang w:val="zh-CN"/>
        </w:rPr>
        <w:t>中国进出口商品交易会出口展参展须知</w:t>
      </w:r>
      <w:r>
        <w:rPr>
          <w:rFonts w:hint="eastAsia" w:ascii="仿宋_GB2312" w:hAnsi="仿宋_GB2312" w:eastAsia="仿宋_GB2312" w:cs="仿宋_GB2312"/>
          <w:b w:val="0"/>
          <w:bCs w:val="0"/>
          <w:color w:val="auto"/>
          <w:sz w:val="32"/>
          <w:szCs w:val="32"/>
          <w:lang w:val="zh-CN"/>
        </w:rPr>
        <w:fldChar w:fldCharType="end"/>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rPr>
        <w:fldChar w:fldCharType="begin"/>
      </w:r>
      <w:r>
        <w:rPr>
          <w:rFonts w:hint="eastAsia" w:ascii="仿宋_GB2312" w:hAnsi="仿宋_GB2312" w:eastAsia="仿宋_GB2312" w:cs="仿宋_GB2312"/>
          <w:b w:val="0"/>
          <w:bCs w:val="0"/>
          <w:color w:val="auto"/>
        </w:rPr>
        <w:instrText xml:space="preserve"> HYPERLINK "http://www.cantonfair.org.cn/html/cantonfair/cn/exhibitor/2012-09/43.shtml" \t "_blank" </w:instrText>
      </w:r>
      <w:r>
        <w:rPr>
          <w:rFonts w:hint="eastAsia" w:ascii="仿宋_GB2312" w:hAnsi="仿宋_GB2312" w:eastAsia="仿宋_GB2312" w:cs="仿宋_GB2312"/>
          <w:b w:val="0"/>
          <w:bCs w:val="0"/>
          <w:color w:val="auto"/>
        </w:rPr>
        <w:fldChar w:fldCharType="separate"/>
      </w:r>
      <w:r>
        <w:rPr>
          <w:rFonts w:hint="eastAsia" w:ascii="仿宋_GB2312" w:hAnsi="仿宋_GB2312" w:eastAsia="仿宋_GB2312" w:cs="仿宋_GB2312"/>
          <w:b w:val="0"/>
          <w:bCs w:val="0"/>
          <w:color w:val="auto"/>
          <w:sz w:val="32"/>
          <w:szCs w:val="32"/>
          <w:lang w:val="zh-CN"/>
        </w:rPr>
        <w:t>中国进出口商品交易会出口展参展商服务指南</w:t>
      </w:r>
      <w:r>
        <w:rPr>
          <w:rFonts w:hint="eastAsia" w:ascii="仿宋_GB2312" w:hAnsi="仿宋_GB2312" w:eastAsia="仿宋_GB2312" w:cs="仿宋_GB2312"/>
          <w:b w:val="0"/>
          <w:bCs w:val="0"/>
          <w:color w:val="auto"/>
          <w:sz w:val="32"/>
          <w:szCs w:val="32"/>
          <w:lang w:val="zh-CN"/>
        </w:rPr>
        <w:fldChar w:fldCharType="end"/>
      </w:r>
      <w:r>
        <w:rPr>
          <w:rFonts w:hint="eastAsia" w:ascii="仿宋_GB2312" w:hAnsi="仿宋_GB2312" w:eastAsia="仿宋_GB2312" w:cs="仿宋_GB2312"/>
          <w:b w:val="0"/>
          <w:bCs w:val="0"/>
          <w:color w:val="auto"/>
          <w:sz w:val="32"/>
          <w:szCs w:val="32"/>
          <w:lang w:val="zh-CN"/>
        </w:rPr>
        <w:t>》等。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2.</w:t>
      </w:r>
      <w:r>
        <w:rPr>
          <w:rFonts w:hint="eastAsia" w:ascii="黑体" w:hAnsi="黑体" w:eastAsia="黑体"/>
          <w:color w:val="auto"/>
          <w:sz w:val="32"/>
          <w:szCs w:val="32"/>
        </w:rPr>
        <w:t>展位分配</w:t>
      </w:r>
      <w:r>
        <w:rPr>
          <w:rFonts w:hint="eastAsia" w:ascii="黑体" w:hAnsi="黑体" w:eastAsia="黑体"/>
          <w:color w:val="auto"/>
          <w:sz w:val="32"/>
          <w:szCs w:val="32"/>
          <w:lang w:eastAsia="zh-CN"/>
        </w:rPr>
        <w:t>原则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仿宋" w:eastAsia="楷体_GB2312"/>
          <w:color w:val="auto"/>
          <w:sz w:val="32"/>
          <w:szCs w:val="32"/>
        </w:rPr>
      </w:pPr>
      <w:r>
        <w:rPr>
          <w:rFonts w:hint="eastAsia" w:ascii="楷体_GB2312" w:hAnsi="仿宋" w:eastAsia="楷体_GB2312"/>
          <w:color w:val="auto"/>
          <w:sz w:val="32"/>
          <w:szCs w:val="32"/>
        </w:rPr>
        <w:t>（一）</w:t>
      </w:r>
      <w:r>
        <w:rPr>
          <w:rFonts w:hint="eastAsia" w:ascii="楷体_GB2312" w:hAnsi="仿宋" w:eastAsia="楷体_GB2312"/>
          <w:color w:val="auto"/>
          <w:sz w:val="32"/>
          <w:szCs w:val="32"/>
          <w:lang w:eastAsia="zh-CN"/>
        </w:rPr>
        <w:t>展位</w:t>
      </w:r>
      <w:r>
        <w:rPr>
          <w:rFonts w:hint="eastAsia" w:ascii="楷体_GB2312" w:hAnsi="仿宋" w:eastAsia="楷体_GB2312"/>
          <w:color w:val="auto"/>
          <w:sz w:val="32"/>
          <w:szCs w:val="32"/>
        </w:rPr>
        <w:t>分配对象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zh-CN"/>
        </w:rPr>
        <w:t>市商务局是广交会温州企业参展组织工作的主要职能部</w:t>
      </w:r>
      <w:r>
        <w:rPr>
          <w:rFonts w:hint="eastAsia" w:ascii="仿宋_GB2312" w:hAnsi="仿宋" w:eastAsia="仿宋_GB2312" w:cs="仿宋_GB2312"/>
          <w:color w:val="auto"/>
          <w:sz w:val="32"/>
          <w:szCs w:val="32"/>
          <w:lang w:val="zh-CN"/>
        </w:rPr>
        <w:t>门</w:t>
      </w:r>
      <w:r>
        <w:rPr>
          <w:rFonts w:hint="eastAsia" w:ascii="仿宋_GB2312" w:hAnsi="仿宋" w:eastAsia="仿宋_GB2312"/>
          <w:color w:val="auto"/>
          <w:sz w:val="32"/>
          <w:szCs w:val="32"/>
          <w:lang w:val="zh-CN"/>
        </w:rPr>
        <w:t>，负责做好广交会温州分团展位综合平衡、推荐、分配等工作。温州分团展位</w:t>
      </w:r>
      <w:r>
        <w:rPr>
          <w:rFonts w:hint="eastAsia" w:ascii="仿宋_GB2312" w:hAnsi="仿宋" w:eastAsia="仿宋_GB2312"/>
          <w:color w:val="auto"/>
          <w:sz w:val="32"/>
          <w:szCs w:val="32"/>
        </w:rPr>
        <w:t>面向温州市注册登记的生产型和贸易型两大类独立法人企业进行分配，每家企业展位安排仅适用一种类型。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仿宋" w:eastAsia="楷体_GB2312"/>
          <w:color w:val="auto"/>
          <w:sz w:val="32"/>
          <w:szCs w:val="32"/>
          <w:lang w:eastAsia="zh-CN"/>
        </w:rPr>
      </w:pPr>
      <w:r>
        <w:rPr>
          <w:rFonts w:hint="eastAsia" w:ascii="楷体_GB2312" w:hAnsi="仿宋" w:eastAsia="楷体_GB2312"/>
          <w:color w:val="auto"/>
          <w:sz w:val="32"/>
          <w:szCs w:val="32"/>
          <w:lang w:eastAsia="zh-CN"/>
        </w:rPr>
        <w:t>（二）展位基数标准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zh-CN"/>
        </w:rPr>
        <w:t>以上年度出口规模为基础，兼顾企业历史展位基数，对申请企业的展位数量实行总体控制与综合平衡。市本级企业、各县（市、区）、市级功能区展位基数基本参照历史展位基数确定，市本级企业由市商务局负责分配，各县（市、区）、市级功能区企业由所在地商务主管部门负责分配。市商务局视情对出口增长或下降较大的市本级企业或县（市、区）、市级功能区奖赏或扣罚展位基数（春交会参考上年度</w:t>
      </w:r>
      <w:r>
        <w:rPr>
          <w:rFonts w:hint="eastAsia" w:ascii="仿宋_GB2312" w:hAnsi="仿宋" w:eastAsia="仿宋_GB2312" w:cs="仿宋_GB2312"/>
          <w:color w:val="auto"/>
          <w:sz w:val="32"/>
          <w:szCs w:val="32"/>
          <w:lang w:val="en-US" w:eastAsia="zh-CN"/>
        </w:rPr>
        <w:t>1-10月出口数据、秋交会参考上年度出口数据</w:t>
      </w:r>
      <w:r>
        <w:rPr>
          <w:rFonts w:hint="eastAsia" w:ascii="仿宋_GB2312" w:hAnsi="仿宋" w:eastAsia="仿宋_GB2312" w:cs="仿宋_GB2312"/>
          <w:color w:val="auto"/>
          <w:sz w:val="32"/>
          <w:szCs w:val="32"/>
          <w:lang w:val="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仿宋" w:eastAsia="楷体_GB2312"/>
          <w:color w:val="auto"/>
          <w:sz w:val="32"/>
          <w:szCs w:val="32"/>
          <w:lang w:eastAsia="zh-CN"/>
        </w:rPr>
      </w:pP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三</w:t>
      </w: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展位</w:t>
      </w:r>
      <w:r>
        <w:rPr>
          <w:rFonts w:hint="eastAsia" w:ascii="楷体_GB2312" w:hAnsi="仿宋" w:eastAsia="楷体_GB2312"/>
          <w:color w:val="auto"/>
          <w:sz w:val="32"/>
          <w:szCs w:val="32"/>
        </w:rPr>
        <w:t>数量</w:t>
      </w:r>
      <w:r>
        <w:rPr>
          <w:rFonts w:hint="eastAsia" w:ascii="楷体_GB2312" w:hAnsi="仿宋" w:eastAsia="楷体_GB2312"/>
          <w:color w:val="auto"/>
          <w:sz w:val="32"/>
          <w:szCs w:val="32"/>
          <w:lang w:eastAsia="zh-CN"/>
        </w:rPr>
        <w:t>安排</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生产型企业主营产品类型原则上安排单一类别展区，展位安排数量上限为4个。贸易型企业展区数量安排不设上限，但单一类别展区展位数量不超过</w:t>
      </w:r>
      <w:r>
        <w:rPr>
          <w:rFonts w:hint="eastAsia" w:ascii="仿宋_GB2312" w:hAnsi="仿宋" w:eastAsia="仿宋_GB2312"/>
          <w:color w:val="auto"/>
          <w:sz w:val="32"/>
          <w:szCs w:val="32"/>
          <w:u w:val="none"/>
          <w:lang w:val="en-US" w:eastAsia="zh-CN"/>
        </w:rPr>
        <w:t>8</w:t>
      </w:r>
      <w:r>
        <w:rPr>
          <w:rFonts w:hint="eastAsia" w:ascii="仿宋_GB2312" w:hAnsi="仿宋" w:eastAsia="仿宋_GB2312"/>
          <w:color w:val="auto"/>
          <w:sz w:val="32"/>
          <w:szCs w:val="32"/>
          <w:u w:val="none"/>
        </w:rPr>
        <w:t>个</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对拥有国家级高新技术企业资质、国家名牌产品或国家级驰名（著名）商标</w:t>
      </w:r>
      <w:r>
        <w:rPr>
          <w:rFonts w:hint="eastAsia" w:ascii="仿宋_GB2312" w:hAnsi="仿宋" w:eastAsia="仿宋_GB2312"/>
          <w:color w:val="auto"/>
          <w:sz w:val="32"/>
          <w:szCs w:val="32"/>
          <w:u w:val="none"/>
          <w:lang w:eastAsia="zh-CN"/>
        </w:rPr>
        <w:t>或具有历史特殊原因的，生产型企业展位数量上限可放宽至</w:t>
      </w:r>
      <w:r>
        <w:rPr>
          <w:rFonts w:hint="eastAsia" w:ascii="仿宋_GB2312" w:hAnsi="仿宋" w:eastAsia="仿宋_GB2312"/>
          <w:color w:val="auto"/>
          <w:sz w:val="32"/>
          <w:szCs w:val="32"/>
          <w:u w:val="none"/>
          <w:lang w:val="en-US" w:eastAsia="zh-CN"/>
        </w:rPr>
        <w:t>6个、贸易型企业</w:t>
      </w:r>
      <w:r>
        <w:rPr>
          <w:rFonts w:hint="eastAsia" w:ascii="仿宋_GB2312" w:hAnsi="仿宋" w:eastAsia="仿宋_GB2312"/>
          <w:color w:val="auto"/>
          <w:sz w:val="32"/>
          <w:szCs w:val="32"/>
          <w:u w:val="none"/>
        </w:rPr>
        <w:t>单一类别展区</w:t>
      </w:r>
      <w:r>
        <w:rPr>
          <w:rFonts w:hint="eastAsia" w:ascii="仿宋_GB2312" w:hAnsi="仿宋" w:eastAsia="仿宋_GB2312"/>
          <w:color w:val="auto"/>
          <w:sz w:val="32"/>
          <w:szCs w:val="32"/>
          <w:u w:val="none"/>
          <w:lang w:val="en-US" w:eastAsia="zh-CN"/>
        </w:rPr>
        <w:t>展位数量上限可放宽至12个。</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（四）展位优先扶持条件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春季广交会优先扶持上年度出口增幅大的外贸企业，秋季广交会依据上年度</w:t>
      </w:r>
      <w:r>
        <w:rPr>
          <w:rFonts w:hint="eastAsia" w:ascii="仿宋_GB2312" w:hAnsi="仿宋" w:eastAsia="仿宋_GB2312" w:cs="仿宋_GB2312"/>
          <w:color w:val="auto"/>
          <w:sz w:val="32"/>
          <w:szCs w:val="32"/>
          <w:lang w:val="zh-CN"/>
        </w:rPr>
        <w:t>出口规模，</w:t>
      </w:r>
      <w:r>
        <w:rPr>
          <w:rFonts w:hint="eastAsia" w:ascii="仿宋_GB2312" w:hAnsi="仿宋" w:eastAsia="仿宋_GB2312"/>
          <w:color w:val="auto"/>
          <w:sz w:val="32"/>
          <w:szCs w:val="32"/>
        </w:rPr>
        <w:t>优先扶持本年度上半年出口增幅大的企业。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left="1"/>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zh-CN"/>
        </w:rPr>
        <w:t xml:space="preserve">    </w:t>
      </w:r>
      <w:r>
        <w:rPr>
          <w:rFonts w:hint="eastAsia" w:ascii="仿宋_GB2312" w:hAnsi="仿宋" w:eastAsia="仿宋_GB2312" w:cs="仿宋_GB2312"/>
          <w:color w:val="auto"/>
          <w:sz w:val="32"/>
          <w:szCs w:val="32"/>
          <w:lang w:val="en-US" w:eastAsia="zh-CN"/>
        </w:rPr>
        <w:t>2.</w:t>
      </w:r>
      <w:r>
        <w:rPr>
          <w:rFonts w:hint="eastAsia" w:ascii="仿宋_GB2312" w:hAnsi="仿宋" w:eastAsia="仿宋_GB2312" w:cs="仿宋_GB2312"/>
          <w:color w:val="auto"/>
          <w:sz w:val="32"/>
          <w:szCs w:val="32"/>
          <w:lang w:val="zh-CN"/>
        </w:rPr>
        <w:t>优先扶持积极开拓国际市场及配合参加省、市组织的境内外展览会的企业。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left="1" w:firstLine="640" w:firstLineChars="200"/>
        <w:textAlignment w:val="auto"/>
        <w:rPr>
          <w:rFonts w:ascii="仿宋_GB2312" w:hAnsi="仿宋" w:eastAsia="仿宋_GB2312" w:cs="仿宋_GB2312"/>
          <w:color w:val="auto"/>
          <w:sz w:val="32"/>
          <w:szCs w:val="32"/>
          <w:lang w:val="zh-CN"/>
        </w:rPr>
      </w:pPr>
      <w:r>
        <w:rPr>
          <w:rFonts w:hint="eastAsia" w:ascii="仿宋_GB2312" w:hAnsi="仿宋" w:eastAsia="仿宋_GB2312" w:cs="仿宋_GB2312"/>
          <w:color w:val="auto"/>
          <w:sz w:val="32"/>
          <w:szCs w:val="32"/>
          <w:lang w:val="en-US" w:eastAsia="zh-CN"/>
        </w:rPr>
        <w:t>3.</w:t>
      </w:r>
      <w:r>
        <w:rPr>
          <w:rFonts w:hint="eastAsia" w:ascii="仿宋_GB2312" w:hAnsi="仿宋" w:eastAsia="仿宋_GB2312" w:cs="仿宋_GB2312"/>
          <w:color w:val="auto"/>
          <w:sz w:val="32"/>
          <w:szCs w:val="32"/>
          <w:lang w:val="zh-CN"/>
        </w:rPr>
        <w:t>优先扶持外贸品牌出口企业，突出出口高附加值产品的企业。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left="1"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4.</w:t>
      </w:r>
      <w:r>
        <w:rPr>
          <w:rFonts w:hint="eastAsia" w:ascii="仿宋_GB2312" w:hAnsi="仿宋" w:eastAsia="仿宋_GB2312"/>
          <w:color w:val="auto"/>
          <w:sz w:val="32"/>
          <w:szCs w:val="32"/>
        </w:rPr>
        <w:t>优先扶持高新技术、机电产品生产企业。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5.</w:t>
      </w:r>
      <w:r>
        <w:rPr>
          <w:rFonts w:hint="eastAsia" w:ascii="仿宋_GB2312" w:hAnsi="仿宋" w:eastAsia="仿宋_GB2312" w:cs="仿宋_GB2312"/>
          <w:color w:val="auto"/>
          <w:sz w:val="32"/>
          <w:szCs w:val="32"/>
          <w:lang w:val="zh-CN"/>
        </w:rPr>
        <w:t xml:space="preserve">优先扶持有前景、产品新颖、出口增幅大的小微企业，并加大扶持力度。 </w:t>
      </w:r>
    </w:p>
    <w:p>
      <w:pPr>
        <w:keepNext w:val="0"/>
        <w:keepLines w:val="0"/>
        <w:pageBreakBefore w:val="0"/>
        <w:widowControl w:val="0"/>
        <w:tabs>
          <w:tab w:val="left" w:pos="1134"/>
          <w:tab w:val="left" w:pos="8080"/>
        </w:tabs>
        <w:kinsoku/>
        <w:wordWrap/>
        <w:overflowPunct/>
        <w:topLinePunct w:val="0"/>
        <w:autoSpaceDE/>
        <w:autoSpaceDN/>
        <w:bidi w:val="0"/>
        <w:adjustRightInd w:val="0"/>
        <w:snapToGrid/>
        <w:spacing w:line="560" w:lineRule="exact"/>
        <w:ind w:firstLine="600"/>
        <w:textAlignment w:val="auto"/>
        <w:rPr>
          <w:rFonts w:ascii="仿宋_GB2312" w:hAnsi="仿宋" w:eastAsia="仿宋_GB2312" w:cs="仿宋_GB2312"/>
          <w:color w:val="auto"/>
          <w:sz w:val="32"/>
          <w:szCs w:val="32"/>
          <w:lang w:val="zh-CN"/>
        </w:rPr>
      </w:pP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lang w:val="zh-CN"/>
        </w:rPr>
        <w:t>优先扶持创新创优外贸企业，突出新产品开发及有创新、亮点的企业。</w:t>
      </w:r>
    </w:p>
    <w:p>
      <w:pPr>
        <w:keepNext w:val="0"/>
        <w:keepLines w:val="0"/>
        <w:pageBreakBefore w:val="0"/>
        <w:widowControl w:val="0"/>
        <w:tabs>
          <w:tab w:val="left" w:pos="1134"/>
          <w:tab w:val="left" w:pos="8080"/>
        </w:tabs>
        <w:kinsoku/>
        <w:wordWrap/>
        <w:overflowPunct/>
        <w:topLinePunct w:val="0"/>
        <w:autoSpaceDE/>
        <w:autoSpaceDN/>
        <w:bidi w:val="0"/>
        <w:adjustRightInd w:val="0"/>
        <w:snapToGrid/>
        <w:spacing w:line="560" w:lineRule="exact"/>
        <w:ind w:firstLine="6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7.</w:t>
      </w:r>
      <w:r>
        <w:rPr>
          <w:rFonts w:hint="eastAsia" w:ascii="仿宋_GB2312" w:hAnsi="仿宋" w:eastAsia="仿宋_GB2312" w:cs="仿宋_GB2312"/>
          <w:color w:val="auto"/>
          <w:sz w:val="32"/>
          <w:szCs w:val="32"/>
          <w:lang w:val="zh-CN"/>
        </w:rPr>
        <w:t>优先扶持贸易回归企业和内贸转外贸企业。</w:t>
      </w:r>
    </w:p>
    <w:p>
      <w:pPr>
        <w:keepNext w:val="0"/>
        <w:keepLines w:val="0"/>
        <w:pageBreakBefore w:val="0"/>
        <w:widowControl w:val="0"/>
        <w:tabs>
          <w:tab w:val="left" w:pos="1260"/>
        </w:tabs>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s="仿宋_GB2312"/>
          <w:color w:val="auto"/>
          <w:sz w:val="32"/>
          <w:szCs w:val="32"/>
          <w:lang w:val="en-US" w:eastAsia="zh-CN"/>
        </w:rPr>
        <w:t>8.</w:t>
      </w:r>
      <w:r>
        <w:rPr>
          <w:rFonts w:hint="eastAsia" w:ascii="仿宋_GB2312" w:hAnsi="仿宋" w:eastAsia="仿宋_GB2312" w:cs="仿宋_GB2312"/>
          <w:color w:val="auto"/>
          <w:sz w:val="32"/>
          <w:szCs w:val="32"/>
          <w:lang w:val="zh-CN"/>
        </w:rPr>
        <w:t>优先扶持遵守大会和省交易团有关规定，积极配合做好知识产权、贸易纠纷、统计分析、绩效评估等工作的企业。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hAnsi="黑体" w:eastAsia="黑体"/>
          <w:color w:val="auto"/>
          <w:sz w:val="32"/>
          <w:szCs w:val="32"/>
          <w:lang w:val="zh-CN"/>
        </w:rPr>
      </w:pPr>
      <w:r>
        <w:rPr>
          <w:rFonts w:hint="eastAsia" w:ascii="黑体" w:hAnsi="黑体" w:eastAsia="黑体"/>
          <w:color w:val="auto"/>
          <w:sz w:val="32"/>
          <w:szCs w:val="32"/>
          <w:lang w:val="en-US" w:eastAsia="zh-CN"/>
        </w:rPr>
        <w:t>3.</w:t>
      </w:r>
      <w:r>
        <w:rPr>
          <w:rFonts w:hint="eastAsia" w:ascii="黑体" w:hAnsi="黑体" w:eastAsia="黑体"/>
          <w:color w:val="auto"/>
          <w:sz w:val="32"/>
          <w:szCs w:val="32"/>
          <w:lang w:val="zh-CN"/>
        </w:rPr>
        <w:t>展位分配程序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（一）申请企业须完成</w:t>
      </w:r>
      <w:r>
        <w:rPr>
          <w:rFonts w:hint="eastAsia" w:ascii="仿宋_GB2312" w:hAnsi="仿宋" w:eastAsia="仿宋_GB2312"/>
          <w:color w:val="auto"/>
          <w:spacing w:val="10"/>
          <w:sz w:val="32"/>
          <w:szCs w:val="32"/>
        </w:rPr>
        <w:t>广交会网络管理系统</w:t>
      </w:r>
      <w:r>
        <w:rPr>
          <w:rFonts w:hint="eastAsia" w:ascii="仿宋_GB2312" w:hAnsi="仿宋" w:eastAsia="仿宋_GB2312"/>
          <w:color w:val="auto"/>
          <w:sz w:val="32"/>
          <w:szCs w:val="32"/>
          <w:lang w:val="zh-CN"/>
        </w:rPr>
        <w:t>“易捷通”网上申报，申报成功后下载打印参展申请表，加盖公司印章后送交企业所在地的商务主管部门资格初审；市本级申请企业送交市商务局资格初审。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二）省交易团下达展位基数和展位结构数方案后，市商务局根据展位分配原则形成市本级企业、各县（市、区）、市级功能区展位基数和结构数方案。市商务局负责对市本级申请企业进行展位分配，各县（市、区）、市级功能区商务主管部门负责对辖区内申请企业进行分配并将分配标准报市商务局备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en-US" w:eastAsia="zh-CN"/>
        </w:rPr>
        <w:t>（三）</w:t>
      </w:r>
      <w:r>
        <w:rPr>
          <w:rFonts w:hint="eastAsia" w:ascii="仿宋_GB2312" w:hAnsi="仿宋" w:eastAsia="仿宋_GB2312"/>
          <w:color w:val="auto"/>
          <w:sz w:val="32"/>
          <w:szCs w:val="32"/>
          <w:lang w:val="zh-CN"/>
        </w:rPr>
        <w:t>市商务局梳理市本级企业及各县（市、区）、市级功能区分配方案后，形成温州分团展位分配总体方案，报局长办公会或党组会议审核确定后，在市商务局网站公示。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en-US" w:eastAsia="zh-CN"/>
        </w:rPr>
        <w:t>（四）</w:t>
      </w:r>
      <w:r>
        <w:rPr>
          <w:rFonts w:hint="eastAsia" w:ascii="仿宋_GB2312" w:hAnsi="仿宋" w:eastAsia="仿宋_GB2312"/>
          <w:color w:val="auto"/>
          <w:sz w:val="32"/>
          <w:szCs w:val="32"/>
          <w:lang w:val="zh-CN"/>
        </w:rPr>
        <w:t>公示期满后，市商务局、各县（市、区）、市级功能区商务主管部门及时将审核确定的展位分配方案，通知辖区内的参展企业做好有关参展前期工作。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rPr>
          <w:rFonts w:ascii="黑体" w:hAnsi="黑体" w:eastAsia="黑体"/>
          <w:b w:val="0"/>
          <w:bCs/>
          <w:color w:val="auto"/>
          <w:spacing w:val="10"/>
          <w:sz w:val="32"/>
          <w:szCs w:val="32"/>
          <w:u w:val="none"/>
        </w:rPr>
      </w:pPr>
      <w:r>
        <w:rPr>
          <w:rFonts w:hint="eastAsia" w:ascii="黑体" w:hAnsi="黑体" w:eastAsia="黑体"/>
          <w:b w:val="0"/>
          <w:bCs/>
          <w:color w:val="auto"/>
          <w:spacing w:val="10"/>
          <w:sz w:val="32"/>
          <w:szCs w:val="32"/>
          <w:u w:val="none"/>
          <w:lang w:val="en-US" w:eastAsia="zh-CN"/>
        </w:rPr>
        <w:t>4.</w:t>
      </w:r>
      <w:r>
        <w:rPr>
          <w:rFonts w:hint="eastAsia" w:ascii="黑体" w:hAnsi="黑体" w:eastAsia="黑体"/>
          <w:b w:val="0"/>
          <w:bCs/>
          <w:color w:val="auto"/>
          <w:spacing w:val="10"/>
          <w:sz w:val="32"/>
          <w:szCs w:val="32"/>
          <w:u w:val="none"/>
        </w:rPr>
        <w:t>展位使用要求</w:t>
      </w:r>
    </w:p>
    <w:p>
      <w:pPr>
        <w:keepNext w:val="0"/>
        <w:keepLines w:val="0"/>
        <w:pageBreakBefore w:val="0"/>
        <w:widowControl w:val="0"/>
        <w:tabs>
          <w:tab w:val="left" w:pos="1835"/>
        </w:tabs>
        <w:kinsoku/>
        <w:wordWrap/>
        <w:overflowPunct/>
        <w:topLinePunct w:val="0"/>
        <w:autoSpaceDE/>
        <w:autoSpaceDN/>
        <w:bidi w:val="0"/>
        <w:snapToGrid/>
        <w:spacing w:line="560" w:lineRule="exact"/>
        <w:ind w:firstLine="751" w:firstLineChars="221"/>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val="en-US" w:eastAsia="zh-CN"/>
        </w:rPr>
        <w:t>（一）</w:t>
      </w:r>
      <w:r>
        <w:rPr>
          <w:rFonts w:hint="eastAsia" w:ascii="仿宋_GB2312" w:hAnsi="仿宋_GB2312" w:eastAsia="仿宋_GB2312" w:cs="仿宋_GB2312"/>
          <w:b w:val="0"/>
          <w:bCs/>
          <w:color w:val="auto"/>
          <w:spacing w:val="10"/>
          <w:sz w:val="32"/>
          <w:szCs w:val="32"/>
          <w:u w:val="none"/>
        </w:rPr>
        <w:t>参展企业应如实在广交会网络管理系统</w:t>
      </w:r>
      <w:r>
        <w:rPr>
          <w:rFonts w:hint="eastAsia" w:ascii="仿宋_GB2312" w:hAnsi="仿宋_GB2312" w:eastAsia="仿宋_GB2312" w:cs="仿宋_GB2312"/>
          <w:b w:val="0"/>
          <w:bCs/>
          <w:color w:val="auto"/>
          <w:sz w:val="32"/>
          <w:szCs w:val="32"/>
          <w:u w:val="none"/>
          <w:lang w:val="zh-CN"/>
        </w:rPr>
        <w:t>“易捷通”</w:t>
      </w:r>
      <w:r>
        <w:rPr>
          <w:rFonts w:hint="eastAsia" w:ascii="仿宋_GB2312" w:hAnsi="仿宋_GB2312" w:eastAsia="仿宋_GB2312" w:cs="仿宋_GB2312"/>
          <w:b w:val="0"/>
          <w:bCs/>
          <w:color w:val="auto"/>
          <w:spacing w:val="10"/>
          <w:sz w:val="32"/>
          <w:szCs w:val="32"/>
          <w:u w:val="none"/>
        </w:rPr>
        <w:t>进行备案登记，按广交会规定使用展位，并承担相应的责任。实际使用者须与展位楣板标明的参展企业一致。不得违规转让或转租（卖）展位、展览期间空置展位以及其他有关违规行为。</w:t>
      </w:r>
    </w:p>
    <w:p>
      <w:pPr>
        <w:keepNext w:val="0"/>
        <w:keepLines w:val="0"/>
        <w:pageBreakBefore w:val="0"/>
        <w:widowControl w:val="0"/>
        <w:kinsoku/>
        <w:wordWrap/>
        <w:overflowPunct/>
        <w:topLinePunct w:val="0"/>
        <w:autoSpaceDE/>
        <w:autoSpaceDN/>
        <w:bidi w:val="0"/>
        <w:snapToGrid/>
        <w:spacing w:line="560" w:lineRule="exact"/>
        <w:ind w:firstLine="703" w:firstLineChars="207"/>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val="en-US" w:eastAsia="zh-CN"/>
        </w:rPr>
        <w:t>（二）</w:t>
      </w:r>
      <w:r>
        <w:rPr>
          <w:rFonts w:hint="eastAsia" w:ascii="仿宋_GB2312" w:hAnsi="仿宋_GB2312" w:eastAsia="仿宋_GB2312" w:cs="仿宋_GB2312"/>
          <w:b w:val="0"/>
          <w:bCs/>
          <w:color w:val="auto"/>
          <w:spacing w:val="10"/>
          <w:sz w:val="32"/>
          <w:szCs w:val="32"/>
          <w:u w:val="none"/>
        </w:rPr>
        <w:t>参展企业指定专人负责展位使用，按规定时间将展位负责人情况录入广交会网络管理系统</w:t>
      </w:r>
      <w:r>
        <w:rPr>
          <w:rFonts w:hint="eastAsia" w:ascii="仿宋_GB2312" w:hAnsi="仿宋_GB2312" w:eastAsia="仿宋_GB2312" w:cs="仿宋_GB2312"/>
          <w:b w:val="0"/>
          <w:bCs/>
          <w:color w:val="auto"/>
          <w:sz w:val="32"/>
          <w:szCs w:val="32"/>
          <w:u w:val="none"/>
          <w:lang w:val="zh-CN"/>
        </w:rPr>
        <w:t>“易捷通”</w:t>
      </w:r>
      <w:r>
        <w:rPr>
          <w:rFonts w:hint="eastAsia" w:ascii="仿宋_GB2312" w:hAnsi="仿宋_GB2312" w:eastAsia="仿宋_GB2312" w:cs="仿宋_GB2312"/>
          <w:b w:val="0"/>
          <w:bCs/>
          <w:color w:val="auto"/>
          <w:spacing w:val="10"/>
          <w:sz w:val="32"/>
          <w:szCs w:val="32"/>
          <w:u w:val="none"/>
        </w:rPr>
        <w:t>。展位负责人须为该展位参展企业正式工作人员并具有广交会核发的当届参展商证。每位展位负责人只能负责本公司在某一展区的一个或多个连片展位，工作时间必须在岗，并有责任配合相关部门对展位使用情况进行检查。</w:t>
      </w:r>
    </w:p>
    <w:p>
      <w:pPr>
        <w:keepNext w:val="0"/>
        <w:keepLines w:val="0"/>
        <w:pageBreakBefore w:val="0"/>
        <w:widowControl w:val="0"/>
        <w:tabs>
          <w:tab w:val="left" w:pos="1800"/>
        </w:tabs>
        <w:kinsoku/>
        <w:wordWrap/>
        <w:overflowPunct/>
        <w:topLinePunct w:val="0"/>
        <w:autoSpaceDE/>
        <w:autoSpaceDN/>
        <w:bidi w:val="0"/>
        <w:snapToGrid/>
        <w:spacing w:line="560" w:lineRule="exact"/>
        <w:ind w:firstLine="703" w:firstLineChars="207"/>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val="en-US" w:eastAsia="zh-CN"/>
        </w:rPr>
        <w:t>（三）</w:t>
      </w:r>
      <w:r>
        <w:rPr>
          <w:rFonts w:hint="eastAsia" w:ascii="仿宋_GB2312" w:hAnsi="仿宋_GB2312" w:eastAsia="仿宋_GB2312" w:cs="仿宋_GB2312"/>
          <w:b w:val="0"/>
          <w:bCs/>
          <w:color w:val="auto"/>
          <w:spacing w:val="10"/>
          <w:sz w:val="32"/>
          <w:szCs w:val="32"/>
          <w:u w:val="none"/>
        </w:rPr>
        <w:t>流通型企业在某一展区的展位数量超过1个时，可在本展区申请与有联合经营或供货关系的非流通企业（联营/供货单位）共同参展（联营参展），并须一并提交有关材料。同一展区最多可申请与两家联营（供货）单位共同参展。参展企业不得以任何名义向联营（供货）单位收取超出正常展位费用的任何费用。联营参展时，展位楣板上只列明参展企业名称，同时由中国对外贸易中心制作包括联营（供货）单位信息的参展证明。品牌展区企业和非流通企业禁止联营参展。</w:t>
      </w:r>
    </w:p>
    <w:p>
      <w:pPr>
        <w:keepNext w:val="0"/>
        <w:keepLines w:val="0"/>
        <w:pageBreakBefore w:val="0"/>
        <w:widowControl w:val="0"/>
        <w:kinsoku/>
        <w:wordWrap/>
        <w:overflowPunct/>
        <w:topLinePunct w:val="0"/>
        <w:autoSpaceDE/>
        <w:autoSpaceDN/>
        <w:bidi w:val="0"/>
        <w:snapToGrid/>
        <w:spacing w:line="560" w:lineRule="exact"/>
        <w:ind w:firstLine="765" w:firstLineChars="225"/>
        <w:textAlignment w:val="auto"/>
        <w:rPr>
          <w:rFonts w:hint="eastAsia" w:ascii="仿宋_GB2312" w:hAnsi="仿宋_GB2312" w:eastAsia="仿宋_GB2312" w:cs="仿宋_GB2312"/>
          <w:b w:val="0"/>
          <w:bCs/>
          <w:color w:val="auto"/>
          <w:spacing w:val="10"/>
          <w:sz w:val="32"/>
          <w:szCs w:val="32"/>
          <w:u w:val="none"/>
        </w:rPr>
      </w:pPr>
      <w:r>
        <w:rPr>
          <w:rFonts w:hint="eastAsia" w:ascii="仿宋_GB2312" w:hAnsi="仿宋_GB2312" w:eastAsia="仿宋_GB2312" w:cs="仿宋_GB2312"/>
          <w:b w:val="0"/>
          <w:bCs/>
          <w:color w:val="auto"/>
          <w:spacing w:val="10"/>
          <w:sz w:val="32"/>
          <w:szCs w:val="32"/>
          <w:u w:val="none"/>
          <w:lang w:eastAsia="zh-CN"/>
        </w:rPr>
        <w:t>（四）</w:t>
      </w:r>
      <w:r>
        <w:rPr>
          <w:rFonts w:hint="eastAsia" w:ascii="仿宋_GB2312" w:hAnsi="仿宋_GB2312" w:eastAsia="仿宋_GB2312" w:cs="仿宋_GB2312"/>
          <w:b w:val="0"/>
          <w:bCs/>
          <w:color w:val="auto"/>
          <w:spacing w:val="10"/>
          <w:sz w:val="32"/>
          <w:szCs w:val="32"/>
          <w:u w:val="none"/>
        </w:rPr>
        <w:t>参展展品必须是参展企业或经参展企业许可由联营（供货）单位提供的产品（物品），须在展位申请的同时进行申报。展品不得跨展区摆放或摆放于展位净展览面积之外。凡涉及商标、专利、版权、质量认证的展品，参展企业须取得合法权利证书或使用许可合同，以备查用。由供货单位提供的展品，参展企业和供货单位须在参展前签订书面展品参展协议。口头协议一律无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hAnsi="黑体" w:eastAsia="黑体"/>
          <w:color w:val="auto"/>
          <w:sz w:val="32"/>
          <w:szCs w:val="32"/>
          <w:lang w:val="zh-CN"/>
        </w:rPr>
      </w:pPr>
      <w:r>
        <w:rPr>
          <w:rFonts w:hint="eastAsia" w:ascii="黑体" w:hAnsi="黑体" w:eastAsia="黑体"/>
          <w:color w:val="auto"/>
          <w:sz w:val="32"/>
          <w:szCs w:val="32"/>
          <w:lang w:val="en-US" w:eastAsia="zh-CN"/>
        </w:rPr>
        <w:t>5.</w:t>
      </w:r>
      <w:r>
        <w:rPr>
          <w:rFonts w:hint="eastAsia" w:ascii="黑体" w:hAnsi="黑体" w:eastAsia="黑体"/>
          <w:color w:val="auto"/>
          <w:sz w:val="32"/>
          <w:szCs w:val="32"/>
          <w:lang w:val="zh-CN"/>
        </w:rPr>
        <w:t>禁止参展企业、展品</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仿宋" w:eastAsia="楷体_GB2312"/>
          <w:color w:val="auto"/>
          <w:sz w:val="32"/>
          <w:szCs w:val="32"/>
        </w:rPr>
      </w:pPr>
      <w:r>
        <w:rPr>
          <w:rFonts w:hint="eastAsia" w:ascii="楷体_GB2312" w:hAnsi="仿宋" w:eastAsia="楷体_GB2312"/>
          <w:color w:val="auto"/>
          <w:sz w:val="32"/>
          <w:szCs w:val="32"/>
        </w:rPr>
        <w:t>（一）属下列情况之一的企业禁止参展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1.商务部向社会公告的违规违法企业，在公告期内禁止参展。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2.国家市监、海关、税务、外汇、环保等部门通报的违规违法企业, 在处罚期限内禁止参展；无处罚期限的，从处罚之日起连续六届禁止参展。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3.因违规转让或转租（卖）广交会展位、涉嫌展品质量与贸易纠纷投诉、知识产权侵权等行为违反大会相关规定，并处于被取消参展资格处罚期限内的企业。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4.因拒不服从大会管理、破坏展览秩序等其他行为，被大会认为对广交会声誉或正常运营造成较大不良影响并被大会、省交易团、温州分团通报批评，被取消参展资格的企业。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仿宋" w:eastAsia="楷体_GB2312"/>
          <w:color w:val="auto"/>
          <w:sz w:val="32"/>
          <w:szCs w:val="32"/>
        </w:rPr>
      </w:pPr>
      <w:r>
        <w:rPr>
          <w:rFonts w:hint="eastAsia" w:ascii="楷体_GB2312" w:hAnsi="仿宋" w:eastAsia="楷体_GB2312"/>
          <w:color w:val="auto"/>
          <w:sz w:val="32"/>
          <w:szCs w:val="32"/>
        </w:rPr>
        <w:t>（二）属下列情况之一的展品禁止参展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1.《</w:t>
      </w:r>
      <w:r>
        <w:rPr>
          <w:color w:val="auto"/>
        </w:rPr>
        <w:fldChar w:fldCharType="begin"/>
      </w:r>
      <w:r>
        <w:rPr>
          <w:color w:val="auto"/>
        </w:rPr>
        <w:instrText xml:space="preserve"> HYPERLINK "http://www.cantonfair.org.cn/public/file_download.aspx?fid=11765&amp;fname=201403041111421142626.pdf" \t "_blank" </w:instrText>
      </w:r>
      <w:r>
        <w:rPr>
          <w:color w:val="auto"/>
        </w:rPr>
        <w:fldChar w:fldCharType="separate"/>
      </w:r>
      <w:r>
        <w:rPr>
          <w:rFonts w:hint="eastAsia" w:ascii="仿宋_GB2312" w:hAnsi="仿宋" w:eastAsia="仿宋_GB2312"/>
          <w:color w:val="auto"/>
          <w:sz w:val="32"/>
          <w:szCs w:val="32"/>
          <w:lang w:val="zh-CN"/>
        </w:rPr>
        <w:t>中国进出口商品交易会参展展品范围（出口展）</w:t>
      </w:r>
      <w:r>
        <w:rPr>
          <w:rFonts w:ascii="仿宋_GB2312" w:hAnsi="仿宋" w:eastAsia="仿宋_GB2312"/>
          <w:color w:val="auto"/>
          <w:sz w:val="32"/>
          <w:szCs w:val="32"/>
          <w:lang w:val="zh-CN"/>
        </w:rPr>
        <w:fldChar w:fldCharType="end"/>
      </w:r>
      <w:r>
        <w:rPr>
          <w:rFonts w:hint="eastAsia" w:ascii="仿宋_GB2312" w:hAnsi="仿宋" w:eastAsia="仿宋_GB2312"/>
          <w:color w:val="auto"/>
          <w:sz w:val="32"/>
          <w:szCs w:val="32"/>
          <w:lang w:val="zh-CN"/>
        </w:rPr>
        <w:t>》规定之外的展品。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2.不符合《中华人民共和国产品质量法》、《中华人民共和国进出口商品检验法》及其他有关出口产品质量法律法规规定的展品。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3.涉及商标、专利、版权，但未取得合法权利证书或使用许可合同的展品。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4.在商务、海关、药品等质量监督管理部门有不良记录且未经复检合格的展品。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5.被司法机关、仲裁机关或知识产权行政管理机关认定侵权的展品。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黑体" w:hAnsi="黑体" w:eastAsia="黑体"/>
          <w:color w:val="auto"/>
          <w:sz w:val="32"/>
          <w:szCs w:val="32"/>
          <w:lang w:val="zh-CN"/>
        </w:rPr>
      </w:pPr>
      <w:r>
        <w:rPr>
          <w:rFonts w:hint="eastAsia" w:ascii="黑体" w:hAnsi="黑体" w:eastAsia="黑体"/>
          <w:color w:val="auto"/>
          <w:sz w:val="32"/>
          <w:szCs w:val="32"/>
          <w:lang w:val="en-US" w:eastAsia="zh-CN"/>
        </w:rPr>
        <w:t>6.</w:t>
      </w:r>
      <w:r>
        <w:rPr>
          <w:rFonts w:hint="eastAsia" w:ascii="黑体" w:hAnsi="黑体" w:eastAsia="黑体"/>
          <w:color w:val="auto"/>
          <w:sz w:val="32"/>
          <w:szCs w:val="32"/>
          <w:lang w:val="zh-CN"/>
        </w:rPr>
        <w:t>违规处理及责任追究</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按照《广交会出口展展位使用管理规定》《涉嫌侵犯知识产权的投诉及处理办法》《浙江省交易团广交会展位使用管理规定》及我市有关广交会管理规定，市商务局对涉及违规使用展位及不配合开展有关工作的全市企业予以取消相关展位参展资格、扣减展位基数处理，扣减的展位数由市商务局统筹安排。</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（一）对违反《广交会出口展展位使用管理规定》，在广交会完成展位位置预置截止后取消展位的企业，取消相应展位下两届广交会参展资格。</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（二）对不履行《广交会展位使用责任书》约定的知识产权保护条款，涉及违反知识产权管理规定的企业，取消相应展位下一届参展资格并扣减展位基数，同时扣减所在县（市、区）、市级功能区的展位基数。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三）对违反《广交会出口展展位使用管理规定》，涉及展位使用违规的企业，取消相应展位下两届广交会参展资格并扣减展位基数，扣减所在县（市、区）、市级功能区的展位基数，涉及展位的展位负责人取消其广交会参展资格。</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四）展品质量及贸易纠纷列入广交会大会被投诉企业名单的，自下届广交会起连续十届受重点监控，在每届展前提供被投诉企业所在地工商管理部门关于该企业信用信息的核查结果，并在开展期间作为重点检查对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（五）对不配合</w:t>
      </w:r>
      <w:r>
        <w:rPr>
          <w:rFonts w:hint="eastAsia" w:ascii="仿宋_GB2312" w:hAnsi="仿宋" w:eastAsia="仿宋_GB2312"/>
          <w:color w:val="auto"/>
          <w:sz w:val="32"/>
          <w:szCs w:val="32"/>
        </w:rPr>
        <w:t>温州分团</w:t>
      </w:r>
      <w:r>
        <w:rPr>
          <w:rFonts w:hint="eastAsia" w:ascii="仿宋_GB2312" w:hAnsi="仿宋" w:eastAsia="仿宋_GB2312"/>
          <w:color w:val="auto"/>
          <w:sz w:val="32"/>
          <w:szCs w:val="32"/>
          <w:lang w:eastAsia="zh-CN"/>
        </w:rPr>
        <w:t>调研问卷、成交统计、采访座谈等</w:t>
      </w:r>
      <w:r>
        <w:rPr>
          <w:rFonts w:hint="eastAsia" w:ascii="仿宋_GB2312" w:hAnsi="仿宋" w:eastAsia="仿宋_GB2312"/>
          <w:color w:val="auto"/>
          <w:sz w:val="32"/>
          <w:szCs w:val="32"/>
          <w:lang w:val="zh-CN"/>
        </w:rPr>
        <w:t>有关管理工作以及扶持展位使用绩效评估不合格的企业，取消广交会展位分配扶持优惠，并列入展位管理黑名单，予以通报警告。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（六）商务主管部门工作人员利用职权在广交会展位分配工作中存在以权谋私的行为，严格按照有关廉洁自律的规定追究党纪政纪责任。</w:t>
      </w:r>
    </w:p>
    <w:p>
      <w:pPr>
        <w:snapToGrid w:val="0"/>
        <w:spacing w:line="338" w:lineRule="auto"/>
        <w:rPr>
          <w:rFonts w:hint="eastAsia" w:ascii="仿宋_GB2312" w:eastAsia="仿宋_GB2312"/>
          <w:color w:val="0000FF"/>
          <w:spacing w:val="-4"/>
          <w:sz w:val="32"/>
          <w:szCs w:val="32"/>
        </w:rPr>
      </w:pPr>
    </w:p>
    <w:sectPr>
      <w:footerReference r:id="rId3" w:type="default"/>
      <w:pgSz w:w="11907" w:h="16840"/>
      <w:pgMar w:top="2155" w:right="1531" w:bottom="1985" w:left="1531"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315" w:rightChars="150"/>
      <w:rPr>
        <w:rStyle w:val="14"/>
        <w:rFonts w:ascii="宋体"/>
        <w:sz w:val="28"/>
      </w:rPr>
    </w:pPr>
    <w:r>
      <w:rPr>
        <w:rStyle w:val="14"/>
        <w:rFonts w:ascii="宋体" w:hAnsi="宋体"/>
        <w:sz w:val="28"/>
      </w:rPr>
      <w:t xml:space="preserve">— </w:t>
    </w:r>
    <w:r>
      <w:rPr>
        <w:rFonts w:ascii="宋体" w:hAnsi="宋体"/>
        <w:sz w:val="28"/>
      </w:rPr>
      <w:fldChar w:fldCharType="begin"/>
    </w:r>
    <w:r>
      <w:rPr>
        <w:rStyle w:val="14"/>
        <w:rFonts w:ascii="宋体" w:hAnsi="宋体"/>
        <w:sz w:val="28"/>
      </w:rPr>
      <w:instrText xml:space="preserve">PAGE  </w:instrText>
    </w:r>
    <w:r>
      <w:rPr>
        <w:rFonts w:ascii="宋体" w:hAnsi="宋体"/>
        <w:sz w:val="28"/>
      </w:rPr>
      <w:fldChar w:fldCharType="separate"/>
    </w:r>
    <w:r>
      <w:rPr>
        <w:rStyle w:val="14"/>
        <w:rFonts w:ascii="宋体" w:hAnsi="宋体"/>
        <w:sz w:val="28"/>
      </w:rPr>
      <w:t>2</w:t>
    </w:r>
    <w:r>
      <w:rPr>
        <w:rFonts w:ascii="宋体" w:hAnsi="宋体"/>
        <w:sz w:val="28"/>
      </w:rPr>
      <w:fldChar w:fldCharType="end"/>
    </w:r>
    <w:r>
      <w:rPr>
        <w:rStyle w:val="14"/>
        <w:rFonts w:ascii="宋体" w:hAnsi="宋体"/>
        <w:sz w:val="28"/>
      </w:rPr>
      <w:t xml:space="preserve"> —</w:t>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6D66B"/>
    <w:multiLevelType w:val="singleLevel"/>
    <w:tmpl w:val="EA86D6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6B"/>
    <w:rsid w:val="000012C0"/>
    <w:rsid w:val="00001B05"/>
    <w:rsid w:val="00002C69"/>
    <w:rsid w:val="000045B3"/>
    <w:rsid w:val="00004A0B"/>
    <w:rsid w:val="00016315"/>
    <w:rsid w:val="0002057D"/>
    <w:rsid w:val="000207DF"/>
    <w:rsid w:val="00022AB9"/>
    <w:rsid w:val="00022B93"/>
    <w:rsid w:val="000240C7"/>
    <w:rsid w:val="00025F63"/>
    <w:rsid w:val="000331DE"/>
    <w:rsid w:val="000359EF"/>
    <w:rsid w:val="00041891"/>
    <w:rsid w:val="00042592"/>
    <w:rsid w:val="000464E1"/>
    <w:rsid w:val="0004793D"/>
    <w:rsid w:val="000542B1"/>
    <w:rsid w:val="00061185"/>
    <w:rsid w:val="00063577"/>
    <w:rsid w:val="0007108C"/>
    <w:rsid w:val="0008368D"/>
    <w:rsid w:val="000876AD"/>
    <w:rsid w:val="000A0941"/>
    <w:rsid w:val="000A775F"/>
    <w:rsid w:val="000D198D"/>
    <w:rsid w:val="000D2F04"/>
    <w:rsid w:val="000D5C57"/>
    <w:rsid w:val="000D62A9"/>
    <w:rsid w:val="000D6CBE"/>
    <w:rsid w:val="000D762F"/>
    <w:rsid w:val="000E1F07"/>
    <w:rsid w:val="000E3E86"/>
    <w:rsid w:val="000E4C17"/>
    <w:rsid w:val="000E67F6"/>
    <w:rsid w:val="000F40D5"/>
    <w:rsid w:val="000F4520"/>
    <w:rsid w:val="000F49A7"/>
    <w:rsid w:val="000F60A6"/>
    <w:rsid w:val="000F7653"/>
    <w:rsid w:val="001010DA"/>
    <w:rsid w:val="0010465A"/>
    <w:rsid w:val="001076F1"/>
    <w:rsid w:val="00114D81"/>
    <w:rsid w:val="001216BF"/>
    <w:rsid w:val="001234E3"/>
    <w:rsid w:val="00124E6B"/>
    <w:rsid w:val="00125AA2"/>
    <w:rsid w:val="00135B7E"/>
    <w:rsid w:val="0014314D"/>
    <w:rsid w:val="00147F51"/>
    <w:rsid w:val="0015265E"/>
    <w:rsid w:val="0015300B"/>
    <w:rsid w:val="00156049"/>
    <w:rsid w:val="00157350"/>
    <w:rsid w:val="00163651"/>
    <w:rsid w:val="00164F91"/>
    <w:rsid w:val="00181571"/>
    <w:rsid w:val="00183C84"/>
    <w:rsid w:val="001876FC"/>
    <w:rsid w:val="00193AC6"/>
    <w:rsid w:val="001978DF"/>
    <w:rsid w:val="001A0ADF"/>
    <w:rsid w:val="001A4839"/>
    <w:rsid w:val="001A6070"/>
    <w:rsid w:val="001B3C1B"/>
    <w:rsid w:val="001C141B"/>
    <w:rsid w:val="001C46D1"/>
    <w:rsid w:val="001D0E24"/>
    <w:rsid w:val="001D5CF1"/>
    <w:rsid w:val="001D7C85"/>
    <w:rsid w:val="001E1813"/>
    <w:rsid w:val="001E65A9"/>
    <w:rsid w:val="001F0CE4"/>
    <w:rsid w:val="001F2E5B"/>
    <w:rsid w:val="001F7CE1"/>
    <w:rsid w:val="00201FC5"/>
    <w:rsid w:val="00206DFF"/>
    <w:rsid w:val="0021102B"/>
    <w:rsid w:val="002120AB"/>
    <w:rsid w:val="00215BEE"/>
    <w:rsid w:val="00224780"/>
    <w:rsid w:val="002359CA"/>
    <w:rsid w:val="00245063"/>
    <w:rsid w:val="0025034A"/>
    <w:rsid w:val="0025371A"/>
    <w:rsid w:val="0025443C"/>
    <w:rsid w:val="002629EC"/>
    <w:rsid w:val="00267C7F"/>
    <w:rsid w:val="00274BFD"/>
    <w:rsid w:val="00275127"/>
    <w:rsid w:val="00282E43"/>
    <w:rsid w:val="0028482C"/>
    <w:rsid w:val="00285AF7"/>
    <w:rsid w:val="00286BCF"/>
    <w:rsid w:val="00291D8E"/>
    <w:rsid w:val="00293336"/>
    <w:rsid w:val="002933DB"/>
    <w:rsid w:val="002979CE"/>
    <w:rsid w:val="00297B4D"/>
    <w:rsid w:val="002A3FA9"/>
    <w:rsid w:val="002A56FA"/>
    <w:rsid w:val="002A5E4D"/>
    <w:rsid w:val="002A633D"/>
    <w:rsid w:val="002A7CFC"/>
    <w:rsid w:val="002B0E57"/>
    <w:rsid w:val="002B0EF6"/>
    <w:rsid w:val="002B1F2A"/>
    <w:rsid w:val="002B3967"/>
    <w:rsid w:val="002B562D"/>
    <w:rsid w:val="002B644E"/>
    <w:rsid w:val="002B7824"/>
    <w:rsid w:val="002B7FA1"/>
    <w:rsid w:val="002C4A7D"/>
    <w:rsid w:val="002D4643"/>
    <w:rsid w:val="002D50AD"/>
    <w:rsid w:val="002D5557"/>
    <w:rsid w:val="002D6BB7"/>
    <w:rsid w:val="003076F9"/>
    <w:rsid w:val="00307B49"/>
    <w:rsid w:val="00314CCC"/>
    <w:rsid w:val="0031744B"/>
    <w:rsid w:val="0031797D"/>
    <w:rsid w:val="003208D7"/>
    <w:rsid w:val="00323A0A"/>
    <w:rsid w:val="003254C2"/>
    <w:rsid w:val="0032660B"/>
    <w:rsid w:val="00327267"/>
    <w:rsid w:val="003330EA"/>
    <w:rsid w:val="00335A04"/>
    <w:rsid w:val="00354DDD"/>
    <w:rsid w:val="00354FBD"/>
    <w:rsid w:val="0035798A"/>
    <w:rsid w:val="00366EA7"/>
    <w:rsid w:val="00372042"/>
    <w:rsid w:val="00390EF9"/>
    <w:rsid w:val="003923A3"/>
    <w:rsid w:val="0039488B"/>
    <w:rsid w:val="003A0A3B"/>
    <w:rsid w:val="003A5174"/>
    <w:rsid w:val="003B0057"/>
    <w:rsid w:val="003B30E3"/>
    <w:rsid w:val="003B45D7"/>
    <w:rsid w:val="003C31BA"/>
    <w:rsid w:val="003E0592"/>
    <w:rsid w:val="003F27B2"/>
    <w:rsid w:val="003F78C0"/>
    <w:rsid w:val="00402E91"/>
    <w:rsid w:val="004035F5"/>
    <w:rsid w:val="00403936"/>
    <w:rsid w:val="004069B3"/>
    <w:rsid w:val="00413DB1"/>
    <w:rsid w:val="00417049"/>
    <w:rsid w:val="00423521"/>
    <w:rsid w:val="00432936"/>
    <w:rsid w:val="00433569"/>
    <w:rsid w:val="004417A7"/>
    <w:rsid w:val="00442155"/>
    <w:rsid w:val="00454D9F"/>
    <w:rsid w:val="0047094A"/>
    <w:rsid w:val="004713DE"/>
    <w:rsid w:val="004725E3"/>
    <w:rsid w:val="0047712F"/>
    <w:rsid w:val="00480552"/>
    <w:rsid w:val="00482682"/>
    <w:rsid w:val="00483E1C"/>
    <w:rsid w:val="00487DF0"/>
    <w:rsid w:val="00497543"/>
    <w:rsid w:val="004A24EC"/>
    <w:rsid w:val="004A66FD"/>
    <w:rsid w:val="004B0285"/>
    <w:rsid w:val="004B0C72"/>
    <w:rsid w:val="004B2A2B"/>
    <w:rsid w:val="004C0D1D"/>
    <w:rsid w:val="004C4332"/>
    <w:rsid w:val="004D21C9"/>
    <w:rsid w:val="004D6532"/>
    <w:rsid w:val="004D77BC"/>
    <w:rsid w:val="004F23C6"/>
    <w:rsid w:val="004F4623"/>
    <w:rsid w:val="004F7BC0"/>
    <w:rsid w:val="004F7E7B"/>
    <w:rsid w:val="00501C44"/>
    <w:rsid w:val="00517110"/>
    <w:rsid w:val="00517C79"/>
    <w:rsid w:val="00521ADE"/>
    <w:rsid w:val="005238B1"/>
    <w:rsid w:val="005370E0"/>
    <w:rsid w:val="00540915"/>
    <w:rsid w:val="00541274"/>
    <w:rsid w:val="00556185"/>
    <w:rsid w:val="00565F0D"/>
    <w:rsid w:val="0056678B"/>
    <w:rsid w:val="00567D35"/>
    <w:rsid w:val="0057058E"/>
    <w:rsid w:val="00571358"/>
    <w:rsid w:val="00575510"/>
    <w:rsid w:val="005778FF"/>
    <w:rsid w:val="00581C76"/>
    <w:rsid w:val="00581EBA"/>
    <w:rsid w:val="00590568"/>
    <w:rsid w:val="005B09E5"/>
    <w:rsid w:val="005B104D"/>
    <w:rsid w:val="005B5735"/>
    <w:rsid w:val="005B7113"/>
    <w:rsid w:val="005C4945"/>
    <w:rsid w:val="005D27A3"/>
    <w:rsid w:val="005D4E68"/>
    <w:rsid w:val="005F018C"/>
    <w:rsid w:val="005F3C5D"/>
    <w:rsid w:val="005F7BE2"/>
    <w:rsid w:val="00605C96"/>
    <w:rsid w:val="006075D3"/>
    <w:rsid w:val="00617227"/>
    <w:rsid w:val="00621D59"/>
    <w:rsid w:val="0062442C"/>
    <w:rsid w:val="00624940"/>
    <w:rsid w:val="0062580A"/>
    <w:rsid w:val="00646B3A"/>
    <w:rsid w:val="00652D05"/>
    <w:rsid w:val="00655E0C"/>
    <w:rsid w:val="006669F1"/>
    <w:rsid w:val="006760A5"/>
    <w:rsid w:val="00682877"/>
    <w:rsid w:val="00684FAB"/>
    <w:rsid w:val="00685490"/>
    <w:rsid w:val="00691559"/>
    <w:rsid w:val="00692F23"/>
    <w:rsid w:val="0069567E"/>
    <w:rsid w:val="00696194"/>
    <w:rsid w:val="006A5C3F"/>
    <w:rsid w:val="006A7F2D"/>
    <w:rsid w:val="006C0AAA"/>
    <w:rsid w:val="006C54DE"/>
    <w:rsid w:val="006D16EC"/>
    <w:rsid w:val="006E320E"/>
    <w:rsid w:val="006E6476"/>
    <w:rsid w:val="006F034A"/>
    <w:rsid w:val="00700D76"/>
    <w:rsid w:val="007015DB"/>
    <w:rsid w:val="00713E35"/>
    <w:rsid w:val="00714AB9"/>
    <w:rsid w:val="007167B3"/>
    <w:rsid w:val="007213C2"/>
    <w:rsid w:val="007257C6"/>
    <w:rsid w:val="00725E7A"/>
    <w:rsid w:val="0072639F"/>
    <w:rsid w:val="00734270"/>
    <w:rsid w:val="00735E0F"/>
    <w:rsid w:val="00740F9C"/>
    <w:rsid w:val="0074102A"/>
    <w:rsid w:val="007548F5"/>
    <w:rsid w:val="00763FAB"/>
    <w:rsid w:val="007718AA"/>
    <w:rsid w:val="0078448A"/>
    <w:rsid w:val="007911F2"/>
    <w:rsid w:val="007A0708"/>
    <w:rsid w:val="007A3885"/>
    <w:rsid w:val="007A4F95"/>
    <w:rsid w:val="007A5C6D"/>
    <w:rsid w:val="007A5DD6"/>
    <w:rsid w:val="007B2DF3"/>
    <w:rsid w:val="007C3C38"/>
    <w:rsid w:val="007C4CE9"/>
    <w:rsid w:val="007C5DA9"/>
    <w:rsid w:val="007C70AB"/>
    <w:rsid w:val="007D2F52"/>
    <w:rsid w:val="007D4DA6"/>
    <w:rsid w:val="007E0CF6"/>
    <w:rsid w:val="007E159D"/>
    <w:rsid w:val="007E1851"/>
    <w:rsid w:val="007E1D34"/>
    <w:rsid w:val="007E49C7"/>
    <w:rsid w:val="007E65F1"/>
    <w:rsid w:val="007F2420"/>
    <w:rsid w:val="00814389"/>
    <w:rsid w:val="00826A08"/>
    <w:rsid w:val="00827306"/>
    <w:rsid w:val="008319AE"/>
    <w:rsid w:val="008330C5"/>
    <w:rsid w:val="0084735B"/>
    <w:rsid w:val="0084746B"/>
    <w:rsid w:val="008509BE"/>
    <w:rsid w:val="00850D2E"/>
    <w:rsid w:val="00850E36"/>
    <w:rsid w:val="00851C1C"/>
    <w:rsid w:val="00853AF3"/>
    <w:rsid w:val="008600C8"/>
    <w:rsid w:val="00863BB3"/>
    <w:rsid w:val="0086430F"/>
    <w:rsid w:val="00866D0E"/>
    <w:rsid w:val="008822F2"/>
    <w:rsid w:val="00893C62"/>
    <w:rsid w:val="008A6135"/>
    <w:rsid w:val="008A6F09"/>
    <w:rsid w:val="008A7C50"/>
    <w:rsid w:val="008B063F"/>
    <w:rsid w:val="008B3A02"/>
    <w:rsid w:val="008C63B7"/>
    <w:rsid w:val="008F1495"/>
    <w:rsid w:val="008F25EA"/>
    <w:rsid w:val="008F3CA0"/>
    <w:rsid w:val="008F7634"/>
    <w:rsid w:val="00902685"/>
    <w:rsid w:val="009064DE"/>
    <w:rsid w:val="00906E4C"/>
    <w:rsid w:val="00910A77"/>
    <w:rsid w:val="00910D39"/>
    <w:rsid w:val="00913635"/>
    <w:rsid w:val="00915736"/>
    <w:rsid w:val="00925E6D"/>
    <w:rsid w:val="0092678A"/>
    <w:rsid w:val="00930901"/>
    <w:rsid w:val="00931C9E"/>
    <w:rsid w:val="009329D9"/>
    <w:rsid w:val="009342DC"/>
    <w:rsid w:val="00935A3F"/>
    <w:rsid w:val="00937C73"/>
    <w:rsid w:val="009439CF"/>
    <w:rsid w:val="00950CA9"/>
    <w:rsid w:val="009634AC"/>
    <w:rsid w:val="00972573"/>
    <w:rsid w:val="0097575F"/>
    <w:rsid w:val="009773EE"/>
    <w:rsid w:val="00977EF4"/>
    <w:rsid w:val="00984CC6"/>
    <w:rsid w:val="00987A7E"/>
    <w:rsid w:val="00987F9E"/>
    <w:rsid w:val="009921ED"/>
    <w:rsid w:val="009A54BC"/>
    <w:rsid w:val="009C19CA"/>
    <w:rsid w:val="009C64C9"/>
    <w:rsid w:val="009D0D0E"/>
    <w:rsid w:val="009F059C"/>
    <w:rsid w:val="009F0C7B"/>
    <w:rsid w:val="009F106B"/>
    <w:rsid w:val="009F5E03"/>
    <w:rsid w:val="00A008F3"/>
    <w:rsid w:val="00A025AE"/>
    <w:rsid w:val="00A04CBE"/>
    <w:rsid w:val="00A15C53"/>
    <w:rsid w:val="00A1765C"/>
    <w:rsid w:val="00A20674"/>
    <w:rsid w:val="00A23A94"/>
    <w:rsid w:val="00A516ED"/>
    <w:rsid w:val="00A52D26"/>
    <w:rsid w:val="00A56068"/>
    <w:rsid w:val="00A56AD6"/>
    <w:rsid w:val="00A57312"/>
    <w:rsid w:val="00A641E8"/>
    <w:rsid w:val="00A7273D"/>
    <w:rsid w:val="00A77286"/>
    <w:rsid w:val="00A800CF"/>
    <w:rsid w:val="00A81974"/>
    <w:rsid w:val="00A82016"/>
    <w:rsid w:val="00A83739"/>
    <w:rsid w:val="00A845B7"/>
    <w:rsid w:val="00A94775"/>
    <w:rsid w:val="00A94BF8"/>
    <w:rsid w:val="00A951B5"/>
    <w:rsid w:val="00AA0701"/>
    <w:rsid w:val="00AA63FB"/>
    <w:rsid w:val="00AB45D4"/>
    <w:rsid w:val="00AB7912"/>
    <w:rsid w:val="00AC0C9C"/>
    <w:rsid w:val="00AC58CD"/>
    <w:rsid w:val="00AD6099"/>
    <w:rsid w:val="00AD78DB"/>
    <w:rsid w:val="00AE0C85"/>
    <w:rsid w:val="00AE11F4"/>
    <w:rsid w:val="00AE535A"/>
    <w:rsid w:val="00AE7B53"/>
    <w:rsid w:val="00AF02EF"/>
    <w:rsid w:val="00AF312F"/>
    <w:rsid w:val="00AF3BDF"/>
    <w:rsid w:val="00B05070"/>
    <w:rsid w:val="00B06208"/>
    <w:rsid w:val="00B10136"/>
    <w:rsid w:val="00B11DF7"/>
    <w:rsid w:val="00B2111A"/>
    <w:rsid w:val="00B31642"/>
    <w:rsid w:val="00B33EFA"/>
    <w:rsid w:val="00B35737"/>
    <w:rsid w:val="00B42457"/>
    <w:rsid w:val="00B42B20"/>
    <w:rsid w:val="00B43D17"/>
    <w:rsid w:val="00B5041A"/>
    <w:rsid w:val="00B506EB"/>
    <w:rsid w:val="00B513E0"/>
    <w:rsid w:val="00B53CD9"/>
    <w:rsid w:val="00B54AE6"/>
    <w:rsid w:val="00B60D74"/>
    <w:rsid w:val="00B62494"/>
    <w:rsid w:val="00B707A0"/>
    <w:rsid w:val="00B70E7D"/>
    <w:rsid w:val="00B7707C"/>
    <w:rsid w:val="00B77712"/>
    <w:rsid w:val="00B8117D"/>
    <w:rsid w:val="00B8183A"/>
    <w:rsid w:val="00B8241D"/>
    <w:rsid w:val="00B861AD"/>
    <w:rsid w:val="00B95E3C"/>
    <w:rsid w:val="00B969DE"/>
    <w:rsid w:val="00BA02A3"/>
    <w:rsid w:val="00BA308A"/>
    <w:rsid w:val="00BB2B0B"/>
    <w:rsid w:val="00BB2BEF"/>
    <w:rsid w:val="00BB6884"/>
    <w:rsid w:val="00BC76CF"/>
    <w:rsid w:val="00BD5BE6"/>
    <w:rsid w:val="00BE35A4"/>
    <w:rsid w:val="00BE5AFB"/>
    <w:rsid w:val="00BE5EB2"/>
    <w:rsid w:val="00BE617A"/>
    <w:rsid w:val="00BF0551"/>
    <w:rsid w:val="00BF5864"/>
    <w:rsid w:val="00BF6439"/>
    <w:rsid w:val="00BF6E87"/>
    <w:rsid w:val="00C00FFA"/>
    <w:rsid w:val="00C03D5A"/>
    <w:rsid w:val="00C07510"/>
    <w:rsid w:val="00C14542"/>
    <w:rsid w:val="00C179A5"/>
    <w:rsid w:val="00C23833"/>
    <w:rsid w:val="00C33CD4"/>
    <w:rsid w:val="00C4172A"/>
    <w:rsid w:val="00C45CC8"/>
    <w:rsid w:val="00C51F83"/>
    <w:rsid w:val="00C549ED"/>
    <w:rsid w:val="00C5707B"/>
    <w:rsid w:val="00C67318"/>
    <w:rsid w:val="00C72222"/>
    <w:rsid w:val="00C832A0"/>
    <w:rsid w:val="00C83452"/>
    <w:rsid w:val="00C83598"/>
    <w:rsid w:val="00C92C47"/>
    <w:rsid w:val="00C93A6B"/>
    <w:rsid w:val="00C9497B"/>
    <w:rsid w:val="00C94C5E"/>
    <w:rsid w:val="00CA38F1"/>
    <w:rsid w:val="00CA3E6C"/>
    <w:rsid w:val="00CB3B35"/>
    <w:rsid w:val="00CB578A"/>
    <w:rsid w:val="00CB63B4"/>
    <w:rsid w:val="00CC26AE"/>
    <w:rsid w:val="00CC291F"/>
    <w:rsid w:val="00CC2A4B"/>
    <w:rsid w:val="00CC2AD0"/>
    <w:rsid w:val="00CC47F3"/>
    <w:rsid w:val="00CC490E"/>
    <w:rsid w:val="00CC7E99"/>
    <w:rsid w:val="00CD102D"/>
    <w:rsid w:val="00CE4739"/>
    <w:rsid w:val="00CE58AC"/>
    <w:rsid w:val="00CE6E70"/>
    <w:rsid w:val="00CF733A"/>
    <w:rsid w:val="00CF7E24"/>
    <w:rsid w:val="00D042B1"/>
    <w:rsid w:val="00D0456C"/>
    <w:rsid w:val="00D141C1"/>
    <w:rsid w:val="00D15055"/>
    <w:rsid w:val="00D20420"/>
    <w:rsid w:val="00D21FBB"/>
    <w:rsid w:val="00D30438"/>
    <w:rsid w:val="00D30B21"/>
    <w:rsid w:val="00D32C2C"/>
    <w:rsid w:val="00D44BC0"/>
    <w:rsid w:val="00D453EC"/>
    <w:rsid w:val="00D53CD2"/>
    <w:rsid w:val="00D557D5"/>
    <w:rsid w:val="00D66A4D"/>
    <w:rsid w:val="00D7017E"/>
    <w:rsid w:val="00D70B9B"/>
    <w:rsid w:val="00D7434D"/>
    <w:rsid w:val="00D81466"/>
    <w:rsid w:val="00D82F89"/>
    <w:rsid w:val="00D9189E"/>
    <w:rsid w:val="00D970A8"/>
    <w:rsid w:val="00DA0E72"/>
    <w:rsid w:val="00DA1ED4"/>
    <w:rsid w:val="00DA714A"/>
    <w:rsid w:val="00DA7EE9"/>
    <w:rsid w:val="00DB2455"/>
    <w:rsid w:val="00DB4820"/>
    <w:rsid w:val="00DB7F4F"/>
    <w:rsid w:val="00DC02C7"/>
    <w:rsid w:val="00DC1F31"/>
    <w:rsid w:val="00DC41A9"/>
    <w:rsid w:val="00DC502D"/>
    <w:rsid w:val="00DD168B"/>
    <w:rsid w:val="00DD1C5F"/>
    <w:rsid w:val="00DE06B9"/>
    <w:rsid w:val="00DE5A9D"/>
    <w:rsid w:val="00DE5C31"/>
    <w:rsid w:val="00E041D8"/>
    <w:rsid w:val="00E07307"/>
    <w:rsid w:val="00E165D6"/>
    <w:rsid w:val="00E30095"/>
    <w:rsid w:val="00E33EC7"/>
    <w:rsid w:val="00E47169"/>
    <w:rsid w:val="00E620F9"/>
    <w:rsid w:val="00E62884"/>
    <w:rsid w:val="00E666C6"/>
    <w:rsid w:val="00E67181"/>
    <w:rsid w:val="00E7136F"/>
    <w:rsid w:val="00E71D66"/>
    <w:rsid w:val="00E74FCE"/>
    <w:rsid w:val="00E755AB"/>
    <w:rsid w:val="00E75FC8"/>
    <w:rsid w:val="00E80DBE"/>
    <w:rsid w:val="00E81B5B"/>
    <w:rsid w:val="00E840C0"/>
    <w:rsid w:val="00EA485D"/>
    <w:rsid w:val="00EB2574"/>
    <w:rsid w:val="00EB54C8"/>
    <w:rsid w:val="00EB6C57"/>
    <w:rsid w:val="00EC47D9"/>
    <w:rsid w:val="00EC4C1D"/>
    <w:rsid w:val="00EC633D"/>
    <w:rsid w:val="00ED3CDB"/>
    <w:rsid w:val="00ED5CE7"/>
    <w:rsid w:val="00EE0EE1"/>
    <w:rsid w:val="00EF1776"/>
    <w:rsid w:val="00EF2661"/>
    <w:rsid w:val="00EF26D7"/>
    <w:rsid w:val="00EF56FF"/>
    <w:rsid w:val="00F031E1"/>
    <w:rsid w:val="00F04413"/>
    <w:rsid w:val="00F05247"/>
    <w:rsid w:val="00F0664B"/>
    <w:rsid w:val="00F07C28"/>
    <w:rsid w:val="00F13898"/>
    <w:rsid w:val="00F30353"/>
    <w:rsid w:val="00F37F4E"/>
    <w:rsid w:val="00F420AA"/>
    <w:rsid w:val="00F469C7"/>
    <w:rsid w:val="00F55DC6"/>
    <w:rsid w:val="00F60390"/>
    <w:rsid w:val="00F65162"/>
    <w:rsid w:val="00F6574C"/>
    <w:rsid w:val="00F8540C"/>
    <w:rsid w:val="00F9295C"/>
    <w:rsid w:val="00FA09FC"/>
    <w:rsid w:val="00FA526D"/>
    <w:rsid w:val="00FA559F"/>
    <w:rsid w:val="00FB4618"/>
    <w:rsid w:val="00FB59A7"/>
    <w:rsid w:val="00FD1665"/>
    <w:rsid w:val="00FE5E25"/>
    <w:rsid w:val="00FF2B89"/>
    <w:rsid w:val="00FF6BB2"/>
    <w:rsid w:val="02706137"/>
    <w:rsid w:val="0AB14F91"/>
    <w:rsid w:val="0E8D1084"/>
    <w:rsid w:val="13C22CA3"/>
    <w:rsid w:val="1AF436CA"/>
    <w:rsid w:val="22794E74"/>
    <w:rsid w:val="22A525B2"/>
    <w:rsid w:val="22EE58A4"/>
    <w:rsid w:val="23920F62"/>
    <w:rsid w:val="262621A7"/>
    <w:rsid w:val="2A070A99"/>
    <w:rsid w:val="30D77936"/>
    <w:rsid w:val="316B2F92"/>
    <w:rsid w:val="34A32471"/>
    <w:rsid w:val="3B1A55F4"/>
    <w:rsid w:val="4B717521"/>
    <w:rsid w:val="4D0B5F4E"/>
    <w:rsid w:val="5094446B"/>
    <w:rsid w:val="55AD2DCE"/>
    <w:rsid w:val="58856FBC"/>
    <w:rsid w:val="6CAE75AA"/>
    <w:rsid w:val="711A606D"/>
    <w:rsid w:val="718536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locked/>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link w:val="22"/>
    <w:qFormat/>
    <w:uiPriority w:val="0"/>
    <w:pPr>
      <w:jc w:val="center"/>
    </w:pPr>
    <w:rPr>
      <w:rFonts w:eastAsia="文星简小标宋"/>
      <w:kern w:val="0"/>
      <w:sz w:val="20"/>
      <w:szCs w:val="20"/>
    </w:rPr>
  </w:style>
  <w:style w:type="paragraph" w:styleId="3">
    <w:name w:val="Body Text First Indent"/>
    <w:basedOn w:val="2"/>
    <w:qFormat/>
    <w:uiPriority w:val="0"/>
    <w:pPr>
      <w:spacing w:after="0" w:line="500" w:lineRule="exact"/>
      <w:ind w:firstLine="420"/>
    </w:pPr>
  </w:style>
  <w:style w:type="paragraph" w:styleId="5">
    <w:name w:val="annotation text"/>
    <w:basedOn w:val="1"/>
    <w:link w:val="20"/>
    <w:semiHidden/>
    <w:qFormat/>
    <w:uiPriority w:val="0"/>
    <w:pPr>
      <w:jc w:val="left"/>
    </w:pPr>
    <w:rPr>
      <w:kern w:val="0"/>
      <w:sz w:val="24"/>
    </w:rPr>
  </w:style>
  <w:style w:type="paragraph" w:styleId="6">
    <w:name w:val="Date"/>
    <w:basedOn w:val="1"/>
    <w:next w:val="1"/>
    <w:link w:val="17"/>
    <w:qFormat/>
    <w:uiPriority w:val="0"/>
    <w:rPr>
      <w:kern w:val="0"/>
      <w:sz w:val="20"/>
      <w:szCs w:val="20"/>
    </w:rPr>
  </w:style>
  <w:style w:type="paragraph" w:styleId="7">
    <w:name w:val="Balloon Text"/>
    <w:basedOn w:val="1"/>
    <w:link w:val="16"/>
    <w:semiHidden/>
    <w:qFormat/>
    <w:uiPriority w:val="0"/>
    <w:rPr>
      <w:kern w:val="0"/>
      <w:sz w:val="2"/>
      <w:szCs w:val="20"/>
    </w:rPr>
  </w:style>
  <w:style w:type="paragraph" w:styleId="8">
    <w:name w:val="footer"/>
    <w:basedOn w:val="1"/>
    <w:link w:val="18"/>
    <w:qFormat/>
    <w:uiPriority w:val="0"/>
    <w:pPr>
      <w:tabs>
        <w:tab w:val="center" w:pos="4153"/>
        <w:tab w:val="right" w:pos="8306"/>
      </w:tabs>
      <w:snapToGrid w:val="0"/>
      <w:jc w:val="left"/>
    </w:pPr>
    <w:rPr>
      <w:kern w:val="0"/>
      <w:sz w:val="20"/>
      <w:szCs w:val="20"/>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qFormat/>
    <w:uiPriority w:val="0"/>
    <w:rPr>
      <w:b/>
      <w:bCs/>
    </w:rPr>
  </w:style>
  <w:style w:type="table" w:styleId="12">
    <w:name w:val="Table Grid"/>
    <w:basedOn w:val="11"/>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rPr>
      <w:rFonts w:cs="Times New Roman"/>
    </w:rPr>
  </w:style>
  <w:style w:type="character" w:styleId="15">
    <w:name w:val="annotation reference"/>
    <w:semiHidden/>
    <w:qFormat/>
    <w:uiPriority w:val="0"/>
    <w:rPr>
      <w:rFonts w:cs="Times New Roman"/>
      <w:sz w:val="21"/>
      <w:szCs w:val="21"/>
    </w:rPr>
  </w:style>
  <w:style w:type="character" w:customStyle="1" w:styleId="16">
    <w:name w:val="批注框文本 Char"/>
    <w:link w:val="7"/>
    <w:semiHidden/>
    <w:qFormat/>
    <w:locked/>
    <w:uiPriority w:val="0"/>
    <w:rPr>
      <w:rFonts w:ascii="Times New Roman" w:hAnsi="Times New Roman" w:eastAsia="宋体" w:cs="Times New Roman"/>
      <w:sz w:val="2"/>
    </w:rPr>
  </w:style>
  <w:style w:type="character" w:customStyle="1" w:styleId="17">
    <w:name w:val="日期 Char"/>
    <w:link w:val="6"/>
    <w:qFormat/>
    <w:locked/>
    <w:uiPriority w:val="0"/>
    <w:rPr>
      <w:rFonts w:ascii="Times New Roman" w:hAnsi="Times New Roman" w:eastAsia="宋体" w:cs="Times New Roman"/>
      <w:sz w:val="20"/>
      <w:szCs w:val="20"/>
    </w:rPr>
  </w:style>
  <w:style w:type="character" w:customStyle="1" w:styleId="18">
    <w:name w:val="页脚 Char"/>
    <w:link w:val="8"/>
    <w:qFormat/>
    <w:locked/>
    <w:uiPriority w:val="0"/>
    <w:rPr>
      <w:rFonts w:ascii="Times New Roman" w:hAnsi="Times New Roman" w:eastAsia="宋体" w:cs="Times New Roman"/>
      <w:sz w:val="20"/>
      <w:szCs w:val="20"/>
    </w:rPr>
  </w:style>
  <w:style w:type="character" w:customStyle="1" w:styleId="19">
    <w:name w:val="页眉 Char"/>
    <w:basedOn w:val="13"/>
    <w:link w:val="9"/>
    <w:qFormat/>
    <w:uiPriority w:val="0"/>
    <w:rPr>
      <w:kern w:val="2"/>
      <w:sz w:val="18"/>
      <w:szCs w:val="18"/>
    </w:rPr>
  </w:style>
  <w:style w:type="character" w:customStyle="1" w:styleId="20">
    <w:name w:val="批注文字 Char"/>
    <w:link w:val="5"/>
    <w:semiHidden/>
    <w:qFormat/>
    <w:locked/>
    <w:uiPriority w:val="0"/>
    <w:rPr>
      <w:rFonts w:ascii="Times New Roman" w:hAnsi="Times New Roman" w:eastAsia="宋体" w:cs="Times New Roman"/>
      <w:sz w:val="24"/>
      <w:szCs w:val="24"/>
    </w:rPr>
  </w:style>
  <w:style w:type="character" w:customStyle="1" w:styleId="21">
    <w:name w:val="批注主题 Char"/>
    <w:link w:val="10"/>
    <w:semiHidden/>
    <w:qFormat/>
    <w:locked/>
    <w:uiPriority w:val="0"/>
    <w:rPr>
      <w:rFonts w:ascii="Times New Roman" w:hAnsi="Times New Roman" w:eastAsia="宋体" w:cs="Times New Roman"/>
      <w:b/>
      <w:bCs/>
      <w:sz w:val="24"/>
      <w:szCs w:val="24"/>
    </w:rPr>
  </w:style>
  <w:style w:type="character" w:customStyle="1" w:styleId="22">
    <w:name w:val="正文文本 Char"/>
    <w:link w:val="2"/>
    <w:qFormat/>
    <w:locked/>
    <w:uiPriority w:val="0"/>
    <w:rPr>
      <w:rFonts w:ascii="Times New Roman" w:hAnsi="Times New Roman" w:eastAsia="文星简小标宋" w:cs="Times New Roman"/>
      <w:sz w:val="20"/>
      <w:szCs w:val="20"/>
    </w:rPr>
  </w:style>
  <w:style w:type="paragraph" w:customStyle="1" w:styleId="23">
    <w:name w:val="List Paragraph"/>
    <w:basedOn w:val="1"/>
    <w:qFormat/>
    <w:uiPriority w:val="0"/>
    <w:pPr>
      <w:ind w:firstLine="420" w:firstLineChars="200"/>
    </w:pPr>
  </w:style>
  <w:style w:type="paragraph" w:customStyle="1" w:styleId="24">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温州市商务局</Company>
  <Pages>8</Pages>
  <Words>510</Words>
  <Characters>2912</Characters>
  <Lines>24</Lines>
  <Paragraphs>6</Paragraphs>
  <TotalTime>0</TotalTime>
  <ScaleCrop>false</ScaleCrop>
  <LinksUpToDate>false</LinksUpToDate>
  <CharactersWithSpaces>3416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2016-07-11T01:14:00Z</dcterms:created>
  <dc:creator>Leslie</dc:creator>
  <cp:lastModifiedBy>Le</cp:lastModifiedBy>
  <cp:lastPrinted>2019-06-12T01:28:00Z</cp:lastPrinted>
  <dcterms:modified xsi:type="dcterms:W3CDTF">2022-01-06T07:53:34Z</dcterms:modified>
  <dc:title>温州市人民政府</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585E3C34D88843F7953972F55D46DE47</vt:lpwstr>
  </property>
</Properties>
</file>