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r>
        <w:rPr>
          <w:rFonts w:hint="default"/>
        </w:rPr>
        <w:t>温州市2017年</w:t>
      </w:r>
      <w:r>
        <w:rPr>
          <w:rFonts w:hint="default"/>
          <w:lang w:val="en-US" w:eastAsia="zh-CN"/>
        </w:rPr>
        <w:t>3</w:t>
      </w:r>
      <w:r>
        <w:rPr>
          <w:rFonts w:hint="default"/>
        </w:rPr>
        <w:t>月外经贸运行监测简析</w:t>
      </w:r>
    </w:p>
    <w:p>
      <w:pPr>
        <w:spacing w:line="560" w:lineRule="exact"/>
        <w:ind w:firstLine="640" w:firstLineChars="200"/>
        <w:rPr>
          <w:rFonts w:hint="default" w:ascii="Times New Roman" w:hAnsi="Times New Roman" w:eastAsia="仿宋_GB2312" w:cs="Times New Roman"/>
          <w:bCs/>
          <w:sz w:val="32"/>
          <w:szCs w:val="32"/>
          <w:highlight w:val="none"/>
        </w:rPr>
      </w:pPr>
    </w:p>
    <w:p>
      <w:pPr>
        <w:spacing w:line="560" w:lineRule="exact"/>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2017年</w:t>
      </w:r>
      <w:r>
        <w:rPr>
          <w:rFonts w:hint="default" w:ascii="Times New Roman" w:hAnsi="Times New Roman" w:eastAsia="仿宋_GB2312" w:cs="Times New Roman"/>
          <w:bCs/>
          <w:sz w:val="32"/>
          <w:szCs w:val="32"/>
          <w:highlight w:val="none"/>
          <w:lang w:val="en-US" w:eastAsia="zh-CN"/>
        </w:rPr>
        <w:t>3</w:t>
      </w:r>
      <w:r>
        <w:rPr>
          <w:rFonts w:hint="default" w:ascii="Times New Roman" w:hAnsi="Times New Roman" w:eastAsia="仿宋_GB2312" w:cs="Times New Roman"/>
          <w:bCs/>
          <w:sz w:val="32"/>
          <w:szCs w:val="32"/>
          <w:highlight w:val="none"/>
        </w:rPr>
        <w:t>月份，我市共有97</w:t>
      </w:r>
      <w:r>
        <w:rPr>
          <w:rFonts w:hint="default" w:ascii="Times New Roman" w:hAnsi="Times New Roman" w:eastAsia="仿宋_GB2312" w:cs="Times New Roman"/>
          <w:bCs/>
          <w:sz w:val="32"/>
          <w:szCs w:val="32"/>
          <w:highlight w:val="none"/>
          <w:lang w:val="en-US" w:eastAsia="zh-CN"/>
        </w:rPr>
        <w:t>8</w:t>
      </w:r>
      <w:r>
        <w:rPr>
          <w:rFonts w:hint="default" w:ascii="Times New Roman" w:hAnsi="Times New Roman" w:eastAsia="仿宋_GB2312" w:cs="Times New Roman"/>
          <w:bCs/>
          <w:sz w:val="32"/>
          <w:szCs w:val="32"/>
          <w:highlight w:val="none"/>
        </w:rPr>
        <w:t>家省级重点联系企业参与调查，上报率为100%，企业上报出口合计</w:t>
      </w:r>
      <w:r>
        <w:rPr>
          <w:rFonts w:hint="default" w:ascii="Times New Roman" w:hAnsi="Times New Roman" w:eastAsia="仿宋_GB2312" w:cs="Times New Roman"/>
          <w:bCs/>
          <w:sz w:val="32"/>
          <w:szCs w:val="32"/>
          <w:highlight w:val="none"/>
          <w:lang w:val="en-US" w:eastAsia="zh-CN"/>
        </w:rPr>
        <w:t>6.67</w:t>
      </w:r>
      <w:r>
        <w:rPr>
          <w:rFonts w:hint="default" w:ascii="Times New Roman" w:hAnsi="Times New Roman" w:eastAsia="仿宋_GB2312" w:cs="Times New Roman"/>
          <w:bCs/>
          <w:sz w:val="32"/>
          <w:szCs w:val="32"/>
          <w:highlight w:val="none"/>
        </w:rPr>
        <w:t>亿美元，预计全市</w:t>
      </w:r>
      <w:r>
        <w:rPr>
          <w:rFonts w:hint="default" w:ascii="Times New Roman" w:hAnsi="Times New Roman" w:eastAsia="仿宋_GB2312" w:cs="Times New Roman"/>
          <w:bCs/>
          <w:sz w:val="32"/>
          <w:szCs w:val="32"/>
          <w:highlight w:val="none"/>
          <w:lang w:val="en-US" w:eastAsia="zh-CN"/>
        </w:rPr>
        <w:t>3</w:t>
      </w:r>
      <w:r>
        <w:rPr>
          <w:rFonts w:hint="default" w:ascii="Times New Roman" w:hAnsi="Times New Roman" w:eastAsia="仿宋_GB2312" w:cs="Times New Roman"/>
          <w:bCs/>
          <w:sz w:val="32"/>
          <w:szCs w:val="32"/>
          <w:highlight w:val="none"/>
        </w:rPr>
        <w:t>月出口</w:t>
      </w:r>
      <w:r>
        <w:rPr>
          <w:rFonts w:hint="default" w:ascii="Times New Roman" w:hAnsi="Times New Roman" w:eastAsia="仿宋_GB2312" w:cs="Times New Roman"/>
          <w:bCs/>
          <w:sz w:val="32"/>
          <w:szCs w:val="32"/>
          <w:highlight w:val="none"/>
          <w:lang w:val="en-US" w:eastAsia="zh-CN"/>
        </w:rPr>
        <w:t>10.8</w:t>
      </w:r>
      <w:r>
        <w:rPr>
          <w:rFonts w:hint="default" w:ascii="Times New Roman" w:hAnsi="Times New Roman" w:eastAsia="仿宋_GB2312" w:cs="Times New Roman"/>
          <w:bCs/>
          <w:sz w:val="32"/>
          <w:szCs w:val="32"/>
          <w:highlight w:val="none"/>
        </w:rPr>
        <w:t>亿美元。从企业上报数据分析</w:t>
      </w:r>
      <w:r>
        <w:rPr>
          <w:rFonts w:hint="default" w:ascii="Times New Roman" w:hAnsi="Times New Roman" w:eastAsia="仿宋_GB2312" w:cs="Times New Roman"/>
          <w:sz w:val="32"/>
          <w:szCs w:val="32"/>
          <w:highlight w:val="none"/>
        </w:rPr>
        <w:t>显示</w:t>
      </w:r>
      <w:r>
        <w:rPr>
          <w:rFonts w:hint="default" w:ascii="Times New Roman" w:hAnsi="Times New Roman" w:eastAsia="仿宋_GB2312" w:cs="Times New Roman"/>
          <w:bCs/>
          <w:sz w:val="32"/>
          <w:szCs w:val="32"/>
          <w:highlight w:val="none"/>
        </w:rPr>
        <w:t>：企业出口信心</w:t>
      </w:r>
      <w:r>
        <w:rPr>
          <w:rFonts w:hint="default" w:ascii="Times New Roman" w:hAnsi="Times New Roman" w:eastAsia="仿宋_GB2312" w:cs="Times New Roman"/>
          <w:bCs/>
          <w:sz w:val="32"/>
          <w:szCs w:val="32"/>
          <w:highlight w:val="none"/>
          <w:lang w:eastAsia="zh-CN"/>
        </w:rPr>
        <w:t>开始向好</w:t>
      </w:r>
      <w:r>
        <w:rPr>
          <w:rFonts w:hint="default" w:ascii="Times New Roman" w:hAnsi="Times New Roman" w:eastAsia="仿宋_GB2312" w:cs="Times New Roman"/>
          <w:bCs/>
          <w:sz w:val="32"/>
          <w:szCs w:val="32"/>
          <w:highlight w:val="none"/>
        </w:rPr>
        <w:t>；出口订单景气指数</w:t>
      </w:r>
      <w:r>
        <w:rPr>
          <w:rFonts w:hint="default" w:ascii="Times New Roman" w:hAnsi="Times New Roman" w:eastAsia="仿宋_GB2312" w:cs="Times New Roman"/>
          <w:bCs/>
          <w:sz w:val="32"/>
          <w:szCs w:val="32"/>
          <w:highlight w:val="none"/>
          <w:lang w:eastAsia="zh-CN"/>
        </w:rPr>
        <w:t>连续回暖</w:t>
      </w:r>
      <w:r>
        <w:rPr>
          <w:rFonts w:hint="default" w:ascii="Times New Roman" w:hAnsi="Times New Roman" w:eastAsia="仿宋_GB2312" w:cs="Times New Roman"/>
          <w:bCs/>
          <w:sz w:val="32"/>
          <w:szCs w:val="32"/>
          <w:highlight w:val="none"/>
        </w:rPr>
        <w:t>；订单转向省内地区占比上升；外需不振影响企业出口占比略有上升；各大主要出口市场前景好于去年同期。</w:t>
      </w:r>
    </w:p>
    <w:p>
      <w:pPr>
        <w:pStyle w:val="3"/>
        <w:rPr>
          <w:rFonts w:hint="default"/>
        </w:rPr>
      </w:pPr>
      <w:r>
        <w:rPr>
          <w:rFonts w:hint="default"/>
        </w:rPr>
        <w:t>一、出口与订单情况</w:t>
      </w:r>
    </w:p>
    <w:p>
      <w:pPr>
        <w:spacing w:line="560" w:lineRule="exact"/>
        <w:ind w:firstLine="640" w:firstLineChars="200"/>
        <w:rPr>
          <w:rFonts w:hint="default" w:ascii="Times New Roman" w:hAnsi="Times New Roman" w:cs="Times New Roman" w:eastAsiaTheme="minorEastAsia"/>
          <w:sz w:val="28"/>
          <w:szCs w:val="28"/>
          <w:highlight w:val="none"/>
        </w:rPr>
      </w:pPr>
      <w:r>
        <w:rPr>
          <w:rFonts w:hint="default" w:ascii="Times New Roman" w:hAnsi="Times New Roman" w:eastAsia="楷体_GB2312" w:cs="Times New Roman"/>
          <w:bCs/>
          <w:sz w:val="32"/>
          <w:szCs w:val="32"/>
          <w:highlight w:val="none"/>
        </w:rPr>
        <w:t>（一）</w:t>
      </w:r>
      <w:r>
        <w:rPr>
          <w:rFonts w:hint="default" w:ascii="Times New Roman" w:hAnsi="Times New Roman" w:eastAsia="楷体_GB2312" w:cs="Times New Roman"/>
          <w:sz w:val="32"/>
          <w:szCs w:val="32"/>
          <w:highlight w:val="none"/>
        </w:rPr>
        <w:t>企业出口信心</w:t>
      </w:r>
      <w:r>
        <w:rPr>
          <w:rFonts w:hint="default" w:ascii="Times New Roman" w:hAnsi="Times New Roman" w:eastAsia="仿宋_GB2312" w:cs="Times New Roman"/>
          <w:bCs/>
          <w:sz w:val="32"/>
          <w:szCs w:val="32"/>
          <w:highlight w:val="none"/>
          <w:lang w:eastAsia="zh-CN"/>
        </w:rPr>
        <w:t>开始向好</w:t>
      </w:r>
      <w:r>
        <w:rPr>
          <w:rFonts w:hint="default" w:ascii="Times New Roman" w:hAnsi="Times New Roman" w:eastAsia="楷体_GB2312" w:cs="Times New Roman"/>
          <w:bCs/>
          <w:sz w:val="32"/>
          <w:szCs w:val="32"/>
          <w:highlight w:val="none"/>
        </w:rPr>
        <w:t>。</w:t>
      </w:r>
      <w:r>
        <w:rPr>
          <w:rFonts w:hint="default" w:ascii="Times New Roman" w:hAnsi="Times New Roman" w:eastAsia="仿宋_GB2312" w:cs="Times New Roman"/>
          <w:bCs/>
          <w:sz w:val="32"/>
          <w:szCs w:val="32"/>
          <w:highlight w:val="none"/>
          <w:lang w:eastAsia="zh-CN"/>
        </w:rPr>
        <w:t>根据监测数据显示，</w:t>
      </w:r>
      <w:r>
        <w:rPr>
          <w:rFonts w:hint="default" w:ascii="Times New Roman" w:hAnsi="Times New Roman" w:eastAsia="楷体_GB2312" w:cs="Times New Roman"/>
          <w:bCs/>
          <w:sz w:val="32"/>
          <w:szCs w:val="32"/>
          <w:highlight w:val="none"/>
          <w:lang w:val="en-US" w:eastAsia="zh-CN"/>
        </w:rPr>
        <w:t>3月份</w:t>
      </w:r>
      <w:r>
        <w:rPr>
          <w:rFonts w:hint="default" w:ascii="Times New Roman" w:hAnsi="Times New Roman" w:eastAsia="仿宋_GB2312" w:cs="Times New Roman"/>
          <w:bCs/>
          <w:sz w:val="32"/>
          <w:szCs w:val="32"/>
          <w:highlight w:val="none"/>
        </w:rPr>
        <w:t>企业</w:t>
      </w:r>
      <w:r>
        <w:rPr>
          <w:rFonts w:hint="default" w:ascii="Times New Roman" w:hAnsi="Times New Roman" w:eastAsia="仿宋_GB2312" w:cs="Times New Roman"/>
          <w:bCs/>
          <w:sz w:val="32"/>
          <w:szCs w:val="32"/>
          <w:highlight w:val="none"/>
          <w:lang w:eastAsia="zh-CN"/>
        </w:rPr>
        <w:t>出口</w:t>
      </w:r>
      <w:r>
        <w:rPr>
          <w:rFonts w:hint="default" w:ascii="Times New Roman" w:hAnsi="Times New Roman" w:eastAsia="仿宋_GB2312" w:cs="Times New Roman"/>
          <w:bCs/>
          <w:sz w:val="32"/>
          <w:szCs w:val="32"/>
          <w:highlight w:val="none"/>
        </w:rPr>
        <w:t>信心指数</w:t>
      </w:r>
      <w:r>
        <w:rPr>
          <w:rFonts w:hint="default" w:ascii="Times New Roman" w:hAnsi="Times New Roman" w:eastAsia="仿宋_GB2312" w:cs="Times New Roman"/>
          <w:bCs/>
          <w:sz w:val="32"/>
          <w:szCs w:val="32"/>
          <w:highlight w:val="none"/>
          <w:lang w:eastAsia="zh-CN"/>
        </w:rPr>
        <w:t>为</w:t>
      </w:r>
      <w:r>
        <w:rPr>
          <w:rFonts w:hint="default" w:ascii="Times New Roman" w:hAnsi="Times New Roman" w:eastAsia="仿宋_GB2312" w:cs="Times New Roman"/>
          <w:bCs/>
          <w:sz w:val="32"/>
          <w:szCs w:val="32"/>
          <w:highlight w:val="none"/>
          <w:lang w:val="en-US" w:eastAsia="zh-CN"/>
        </w:rPr>
        <w:t>106.7</w:t>
      </w:r>
      <w:r>
        <w:rPr>
          <w:rFonts w:hint="eastAsia" w:ascii="Times New Roman" w:hAnsi="Times New Roman" w:eastAsia="仿宋_GB2312" w:cs="Times New Roman"/>
          <w:bCs/>
          <w:sz w:val="32"/>
          <w:szCs w:val="32"/>
          <w:highlight w:val="none"/>
          <w:lang w:val="en-US" w:eastAsia="zh-CN"/>
        </w:rPr>
        <w:t>，</w:t>
      </w:r>
      <w:r>
        <w:rPr>
          <w:rFonts w:hint="default" w:ascii="Times New Roman" w:hAnsi="Times New Roman" w:eastAsia="仿宋_GB2312" w:cs="Times New Roman"/>
          <w:bCs/>
          <w:sz w:val="32"/>
          <w:szCs w:val="32"/>
          <w:highlight w:val="none"/>
          <w:lang w:val="en-US" w:eastAsia="zh-CN"/>
        </w:rPr>
        <w:t>环比上升2.3个点</w:t>
      </w:r>
      <w:r>
        <w:rPr>
          <w:rFonts w:hint="eastAsia" w:ascii="Times New Roman" w:hAnsi="Times New Roman" w:eastAsia="仿宋_GB2312" w:cs="Times New Roman"/>
          <w:bCs/>
          <w:sz w:val="32"/>
          <w:szCs w:val="32"/>
          <w:highlight w:val="none"/>
          <w:lang w:val="en-US" w:eastAsia="zh-CN"/>
        </w:rPr>
        <w:t>，连续3个月保持在“微弱景气”区间。企业对外贸形势整体判断趋好，预计下季度出口同比增长5.6%，其中</w:t>
      </w:r>
      <w:r>
        <w:rPr>
          <w:rFonts w:hint="default" w:ascii="Times New Roman" w:hAnsi="Times New Roman" w:eastAsia="仿宋_GB2312" w:cs="Times New Roman"/>
          <w:bCs/>
          <w:sz w:val="32"/>
          <w:szCs w:val="32"/>
          <w:highlight w:val="none"/>
        </w:rPr>
        <w:t>持乐观和一般态度的企业占</w:t>
      </w:r>
      <w:r>
        <w:rPr>
          <w:rFonts w:hint="default" w:ascii="Times New Roman" w:hAnsi="Times New Roman" w:eastAsia="仿宋_GB2312" w:cs="Times New Roman"/>
          <w:bCs/>
          <w:sz w:val="32"/>
          <w:szCs w:val="32"/>
          <w:highlight w:val="none"/>
          <w:lang w:val="en-US" w:eastAsia="zh-CN"/>
        </w:rPr>
        <w:t>84</w:t>
      </w:r>
      <w:r>
        <w:rPr>
          <w:rFonts w:hint="default" w:ascii="Times New Roman" w:hAnsi="Times New Roman" w:eastAsia="仿宋_GB2312" w:cs="Times New Roman"/>
          <w:bCs/>
          <w:sz w:val="32"/>
          <w:szCs w:val="32"/>
          <w:highlight w:val="none"/>
        </w:rPr>
        <w:t>%，不乐观企业占</w:t>
      </w:r>
      <w:r>
        <w:rPr>
          <w:rFonts w:hint="default" w:ascii="Times New Roman" w:hAnsi="Times New Roman" w:eastAsia="仿宋_GB2312" w:cs="Times New Roman"/>
          <w:bCs/>
          <w:sz w:val="32"/>
          <w:szCs w:val="32"/>
          <w:highlight w:val="none"/>
          <w:lang w:val="en-US" w:eastAsia="zh-CN"/>
        </w:rPr>
        <w:t>16</w:t>
      </w:r>
      <w:r>
        <w:rPr>
          <w:rFonts w:hint="default" w:ascii="Times New Roman" w:hAnsi="Times New Roman" w:eastAsia="仿宋_GB2312" w:cs="Times New Roman"/>
          <w:bCs/>
          <w:sz w:val="32"/>
          <w:szCs w:val="32"/>
          <w:highlight w:val="none"/>
        </w:rPr>
        <w:t>%。</w:t>
      </w:r>
    </w:p>
    <w:p>
      <w:pPr>
        <w:ind w:firstLine="560" w:firstLineChars="200"/>
        <w:jc w:val="center"/>
        <w:rPr>
          <w:rFonts w:hint="default" w:ascii="Times New Roman" w:hAnsi="Times New Roman" w:cs="Times New Roman"/>
          <w:sz w:val="28"/>
          <w:szCs w:val="28"/>
          <w:highlight w:val="none"/>
        </w:rPr>
      </w:pPr>
    </w:p>
    <w:p>
      <w:pPr>
        <w:ind w:firstLine="560" w:firstLineChars="200"/>
        <w:jc w:val="center"/>
        <w:rPr>
          <w:rFonts w:hint="default" w:ascii="Times New Roman" w:hAnsi="Times New Roman" w:cs="Times New Roman" w:eastAsiaTheme="minorEastAsia"/>
          <w:sz w:val="28"/>
          <w:szCs w:val="28"/>
          <w:highlight w:val="none"/>
        </w:rPr>
      </w:pPr>
      <w:r>
        <w:rPr>
          <w:rFonts w:hint="default" w:ascii="Times New Roman" w:hAnsi="Times New Roman" w:cs="Times New Roman"/>
          <w:highlight w:val="none"/>
        </w:rPr>
        <w:drawing>
          <wp:anchor distT="0" distB="0" distL="114300" distR="114300" simplePos="0" relativeHeight="251663360" behindDoc="0" locked="0" layoutInCell="1" allowOverlap="1">
            <wp:simplePos x="0" y="0"/>
            <wp:positionH relativeFrom="column">
              <wp:align>center</wp:align>
            </wp:positionH>
            <wp:positionV relativeFrom="paragraph">
              <wp:posOffset>514350</wp:posOffset>
            </wp:positionV>
            <wp:extent cx="5443220" cy="2615565"/>
            <wp:effectExtent l="6350" t="6350" r="17780" b="698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cs="Times New Roman"/>
          <w:sz w:val="28"/>
          <w:szCs w:val="28"/>
          <w:highlight w:val="none"/>
        </w:rPr>
        <w:t>图1   我市企业出口信心情况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420" w:leftChars="20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楷体_GB2312" w:cs="Times New Roman"/>
          <w:bCs/>
          <w:sz w:val="32"/>
          <w:szCs w:val="32"/>
          <w:highlight w:val="none"/>
          <w:lang w:eastAsia="zh-CN"/>
        </w:rPr>
        <w:t>（二）对</w:t>
      </w:r>
      <w:r>
        <w:rPr>
          <w:rFonts w:hint="default" w:ascii="Times New Roman" w:hAnsi="Times New Roman" w:eastAsia="楷体_GB2312" w:cs="Times New Roman"/>
          <w:bCs/>
          <w:sz w:val="32"/>
          <w:szCs w:val="32"/>
          <w:highlight w:val="none"/>
        </w:rPr>
        <w:t>各大主要出口市场</w:t>
      </w:r>
      <w:r>
        <w:rPr>
          <w:rFonts w:hint="eastAsia" w:ascii="Times New Roman" w:hAnsi="Times New Roman" w:eastAsia="楷体_GB2312" w:cs="Times New Roman"/>
          <w:bCs/>
          <w:sz w:val="32"/>
          <w:szCs w:val="32"/>
          <w:highlight w:val="none"/>
          <w:lang w:eastAsia="zh-CN"/>
        </w:rPr>
        <w:t>预期总体平稳</w:t>
      </w:r>
      <w:r>
        <w:rPr>
          <w:rFonts w:hint="default" w:ascii="Times New Roman" w:hAnsi="Times New Roman" w:eastAsia="楷体_GB2312" w:cs="Times New Roman"/>
          <w:bCs/>
          <w:sz w:val="32"/>
          <w:szCs w:val="32"/>
          <w:highlight w:val="none"/>
        </w:rPr>
        <w:t>。</w:t>
      </w:r>
      <w:r>
        <w:rPr>
          <w:rFonts w:hint="eastAsia" w:ascii="Times New Roman" w:hAnsi="Times New Roman" w:eastAsia="仿宋_GB2312" w:cs="Times New Roman"/>
          <w:sz w:val="32"/>
          <w:szCs w:val="32"/>
          <w:highlight w:val="none"/>
          <w:lang w:val="en-US" w:eastAsia="zh-CN"/>
        </w:rPr>
        <w:t>3月</w:t>
      </w:r>
      <w:r>
        <w:rPr>
          <w:rFonts w:hint="default" w:ascii="Times New Roman" w:hAnsi="Times New Roman" w:eastAsia="仿宋_GB2312" w:cs="Times New Roman"/>
          <w:sz w:val="32"/>
          <w:szCs w:val="32"/>
          <w:highlight w:val="none"/>
        </w:rPr>
        <w:t>，全市重点联系企业对各大主要出口市场前景预测增长或持平占比</w:t>
      </w:r>
      <w:r>
        <w:rPr>
          <w:rFonts w:hint="eastAsia" w:ascii="Times New Roman" w:hAnsi="Times New Roman" w:eastAsia="仿宋_GB2312" w:cs="Times New Roman"/>
          <w:sz w:val="32"/>
          <w:szCs w:val="32"/>
          <w:highlight w:val="none"/>
          <w:lang w:eastAsia="zh-CN"/>
        </w:rPr>
        <w:t>总体平稳，继续保持在</w:t>
      </w:r>
      <w:r>
        <w:rPr>
          <w:rFonts w:hint="eastAsia" w:ascii="Times New Roman" w:hAnsi="Times New Roman" w:eastAsia="仿宋_GB2312" w:cs="Times New Roman"/>
          <w:sz w:val="32"/>
          <w:szCs w:val="32"/>
          <w:highlight w:val="none"/>
          <w:lang w:val="en-US" w:eastAsia="zh-CN"/>
        </w:rPr>
        <w:t>80%以上。其中，对美国、香港市场</w:t>
      </w:r>
      <w:r>
        <w:rPr>
          <w:rFonts w:hint="default" w:ascii="Times New Roman" w:hAnsi="Times New Roman" w:eastAsia="仿宋_GB2312" w:cs="Times New Roman"/>
          <w:sz w:val="32"/>
          <w:szCs w:val="32"/>
          <w:highlight w:val="none"/>
        </w:rPr>
        <w:t>出口预测增长或持平占比</w:t>
      </w:r>
      <w:r>
        <w:rPr>
          <w:rFonts w:hint="eastAsia" w:ascii="Times New Roman" w:hAnsi="Times New Roman" w:eastAsia="仿宋_GB2312" w:cs="Times New Roman"/>
          <w:sz w:val="32"/>
          <w:szCs w:val="32"/>
          <w:highlight w:val="none"/>
          <w:lang w:eastAsia="zh-CN"/>
        </w:rPr>
        <w:t>均在</w:t>
      </w:r>
      <w:r>
        <w:rPr>
          <w:rFonts w:hint="eastAsia" w:ascii="Times New Roman" w:hAnsi="Times New Roman" w:eastAsia="仿宋_GB2312" w:cs="Times New Roman"/>
          <w:sz w:val="32"/>
          <w:szCs w:val="32"/>
          <w:highlight w:val="none"/>
          <w:lang w:val="en-US" w:eastAsia="zh-CN"/>
        </w:rPr>
        <w:t>84%及以上，分别为84.2%、84%。对东盟、欧盟、俄罗斯等分别为83.5%、83.5%、81.9%，分别环比增长0.6、2、1.3个百分点。</w:t>
      </w:r>
    </w:p>
    <w:p>
      <w:pPr>
        <w:spacing w:line="560" w:lineRule="exact"/>
        <w:ind w:firstLine="560" w:firstLineChars="200"/>
        <w:jc w:val="center"/>
        <w:rPr>
          <w:rFonts w:hint="default" w:ascii="Times New Roman" w:hAnsi="Times New Roman" w:cs="Times New Roman" w:eastAsiaTheme="minorEastAsia"/>
          <w:sz w:val="28"/>
          <w:szCs w:val="28"/>
          <w:highlight w:val="none"/>
        </w:rPr>
      </w:pPr>
    </w:p>
    <w:p>
      <w:pPr>
        <w:spacing w:line="560" w:lineRule="exact"/>
        <w:ind w:firstLine="560" w:firstLineChars="200"/>
        <w:jc w:val="center"/>
        <w:rPr>
          <w:rFonts w:hint="default" w:ascii="Times New Roman" w:hAnsi="Times New Roman" w:cs="Times New Roman" w:eastAsiaTheme="minorEastAsia"/>
          <w:sz w:val="28"/>
          <w:szCs w:val="28"/>
          <w:highlight w:val="none"/>
        </w:rPr>
      </w:pPr>
      <w:r>
        <w:rPr>
          <w:rFonts w:hint="default" w:ascii="Times New Roman" w:hAnsi="Times New Roman" w:cs="Times New Roman"/>
          <w:sz w:val="28"/>
          <w:szCs w:val="28"/>
          <w:highlight w:val="none"/>
        </w:rPr>
        <w:t>图2  我市各主要市场预期本出口增长或持平占比</w:t>
      </w:r>
      <w:r>
        <w:rPr>
          <w:rFonts w:hint="default" w:ascii="Times New Roman" w:hAnsi="Times New Roman" w:cs="Times New Roman" w:eastAsiaTheme="minorEastAsia"/>
          <w:sz w:val="28"/>
          <w:szCs w:val="28"/>
          <w:highlight w:val="none"/>
        </w:rPr>
        <w:t>情况</w:t>
      </w:r>
    </w:p>
    <w:p>
      <w:pPr>
        <w:ind w:firstLine="560" w:firstLineChars="200"/>
        <w:jc w:val="center"/>
        <w:rPr>
          <w:rFonts w:hint="default" w:ascii="Times New Roman" w:hAnsi="Times New Roman" w:cs="Times New Roman" w:eastAsiaTheme="minorEastAsia"/>
          <w:sz w:val="28"/>
          <w:szCs w:val="28"/>
          <w:highlight w:val="none"/>
        </w:rPr>
      </w:pPr>
      <w:r>
        <w:rPr>
          <w:rFonts w:hint="default" w:ascii="Times New Roman" w:hAnsi="Times New Roman" w:cs="Times New Roman"/>
          <w:highlight w:val="none"/>
        </w:rPr>
        <w:drawing>
          <wp:anchor distT="0" distB="0" distL="114300" distR="114300" simplePos="0" relativeHeight="251664384" behindDoc="0" locked="0" layoutInCell="1" allowOverlap="1">
            <wp:simplePos x="0" y="0"/>
            <wp:positionH relativeFrom="column">
              <wp:align>center</wp:align>
            </wp:positionH>
            <wp:positionV relativeFrom="paragraph">
              <wp:posOffset>90805</wp:posOffset>
            </wp:positionV>
            <wp:extent cx="5579745" cy="3249295"/>
            <wp:effectExtent l="4445" t="5080" r="16510" b="22225"/>
            <wp:wrapTopAndBottom/>
            <wp:docPr id="19954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rPr>
      </w:pPr>
      <w:r>
        <w:rPr>
          <w:rStyle w:val="22"/>
          <w:rFonts w:hint="default"/>
          <w:sz w:val="32"/>
          <w:szCs w:val="32"/>
        </w:rPr>
        <w:t>（三）出口订单景气指数</w:t>
      </w:r>
      <w:r>
        <w:rPr>
          <w:rStyle w:val="22"/>
          <w:rFonts w:hint="default"/>
          <w:sz w:val="32"/>
          <w:szCs w:val="32"/>
          <w:lang w:eastAsia="zh-CN"/>
        </w:rPr>
        <w:t>连续回暖</w:t>
      </w:r>
      <w:r>
        <w:rPr>
          <w:rStyle w:val="22"/>
          <w:rFonts w:hint="default"/>
          <w:sz w:val="32"/>
          <w:szCs w:val="32"/>
        </w:rPr>
        <w:t>。</w:t>
      </w:r>
      <w:r>
        <w:rPr>
          <w:rFonts w:hint="default"/>
          <w:lang w:val="en-US" w:eastAsia="zh-CN"/>
        </w:rPr>
        <w:t>3</w:t>
      </w:r>
      <w:r>
        <w:rPr>
          <w:rFonts w:hint="default"/>
          <w:lang w:eastAsia="zh-CN"/>
        </w:rPr>
        <w:t>月份我市</w:t>
      </w:r>
      <w:r>
        <w:rPr>
          <w:rFonts w:hint="default"/>
        </w:rPr>
        <w:t>出口订单景气指数</w:t>
      </w:r>
      <w:r>
        <w:rPr>
          <w:rFonts w:hint="default"/>
          <w:lang w:eastAsia="zh-CN"/>
        </w:rPr>
        <w:t>为</w:t>
      </w:r>
      <w:r>
        <w:rPr>
          <w:rFonts w:hint="default"/>
          <w:lang w:val="en-US" w:eastAsia="zh-CN"/>
        </w:rPr>
        <w:t>101</w:t>
      </w:r>
      <w:r>
        <w:rPr>
          <w:rFonts w:hint="default"/>
        </w:rPr>
        <w:t>点，环比增长</w:t>
      </w:r>
      <w:r>
        <w:rPr>
          <w:rFonts w:hint="default"/>
          <w:lang w:val="en-US" w:eastAsia="zh-CN"/>
        </w:rPr>
        <w:t>1.5</w:t>
      </w:r>
      <w:r>
        <w:rPr>
          <w:rFonts w:hint="default"/>
        </w:rPr>
        <w:t>个点</w:t>
      </w:r>
      <w:r>
        <w:rPr>
          <w:rFonts w:hint="eastAsia"/>
          <w:lang w:eastAsia="zh-CN"/>
        </w:rPr>
        <w:t>，连续</w:t>
      </w:r>
      <w:r>
        <w:rPr>
          <w:rFonts w:hint="eastAsia"/>
          <w:lang w:val="en-US" w:eastAsia="zh-CN"/>
        </w:rPr>
        <w:t>6个月环比增长</w:t>
      </w:r>
      <w:r>
        <w:rPr>
          <w:rFonts w:hint="default"/>
        </w:rPr>
        <w:t>。</w:t>
      </w:r>
      <w:r>
        <w:rPr>
          <w:rFonts w:hint="eastAsia"/>
          <w:lang w:eastAsia="zh-CN"/>
        </w:rPr>
        <w:t>截</w:t>
      </w:r>
      <w:r>
        <w:rPr>
          <w:rFonts w:hint="eastAsia"/>
          <w:lang w:eastAsia="zh-CN"/>
        </w:rPr>
        <w:t>至目前，</w:t>
      </w:r>
      <w:r>
        <w:rPr>
          <w:rFonts w:hint="default"/>
        </w:rPr>
        <w:t>企业尚未执行在手出口订单为</w:t>
      </w:r>
      <w:r>
        <w:rPr>
          <w:rFonts w:hint="default"/>
          <w:lang w:val="en-US" w:eastAsia="zh-CN"/>
        </w:rPr>
        <w:t>15.9</w:t>
      </w:r>
      <w:r>
        <w:rPr>
          <w:rFonts w:hint="default"/>
        </w:rPr>
        <w:t>亿美元，</w:t>
      </w:r>
      <w:r>
        <w:rPr>
          <w:rFonts w:hint="eastAsia"/>
          <w:lang w:eastAsia="zh-CN"/>
        </w:rPr>
        <w:t>新签订单</w:t>
      </w:r>
      <w:r>
        <w:rPr>
          <w:rFonts w:hint="eastAsia"/>
          <w:lang w:val="en-US" w:eastAsia="zh-CN"/>
        </w:rPr>
        <w:t>6.6亿美元。</w:t>
      </w:r>
      <w:r>
        <w:rPr>
          <w:rFonts w:hint="default"/>
        </w:rPr>
        <w:t>在手订单金额同比上升的企业占24.</w:t>
      </w:r>
      <w:r>
        <w:rPr>
          <w:rFonts w:hint="eastAsia"/>
          <w:lang w:val="en-US" w:eastAsia="zh-CN"/>
        </w:rPr>
        <w:t>4</w:t>
      </w:r>
      <w:r>
        <w:rPr>
          <w:rFonts w:hint="default"/>
        </w:rPr>
        <w:t>%；下降的企业占</w:t>
      </w:r>
      <w:r>
        <w:rPr>
          <w:rFonts w:hint="default"/>
          <w:lang w:val="en-US" w:eastAsia="zh-CN"/>
        </w:rPr>
        <w:t>23.</w:t>
      </w:r>
      <w:r>
        <w:rPr>
          <w:rFonts w:hint="eastAsia"/>
          <w:lang w:val="en-US" w:eastAsia="zh-CN"/>
        </w:rPr>
        <w:t>4</w:t>
      </w:r>
      <w:r>
        <w:rPr>
          <w:rFonts w:hint="default"/>
        </w:rPr>
        <w:t>%。</w:t>
      </w:r>
    </w:p>
    <w:p>
      <w:pPr>
        <w:spacing w:line="560" w:lineRule="exact"/>
        <w:ind w:firstLine="560" w:firstLineChars="200"/>
        <w:jc w:val="center"/>
        <w:rPr>
          <w:rFonts w:hint="default" w:ascii="Times New Roman" w:hAnsi="Times New Roman" w:cs="Times New Roman"/>
          <w:sz w:val="28"/>
          <w:szCs w:val="28"/>
          <w:highlight w:val="none"/>
        </w:rPr>
      </w:pPr>
      <w:r>
        <w:rPr>
          <w:rFonts w:hint="default" w:ascii="Times New Roman" w:hAnsi="Times New Roman" w:eastAsia="宋体" w:cs="Times New Roman"/>
          <w:sz w:val="28"/>
          <w:szCs w:val="28"/>
          <w:highlight w:val="none"/>
        </w:rPr>
        <w:drawing>
          <wp:anchor distT="0" distB="0" distL="114300" distR="114300" simplePos="0" relativeHeight="251665408" behindDoc="0" locked="0" layoutInCell="1" allowOverlap="1">
            <wp:simplePos x="0" y="0"/>
            <wp:positionH relativeFrom="column">
              <wp:align>center</wp:align>
            </wp:positionH>
            <wp:positionV relativeFrom="paragraph">
              <wp:posOffset>355600</wp:posOffset>
            </wp:positionV>
            <wp:extent cx="5175250" cy="2723515"/>
            <wp:effectExtent l="0" t="0" r="6350" b="635"/>
            <wp:wrapTopAndBottom/>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8"/>
                    <a:stretch>
                      <a:fillRect/>
                    </a:stretch>
                  </pic:blipFill>
                  <pic:spPr>
                    <a:xfrm>
                      <a:off x="0" y="0"/>
                      <a:ext cx="5175250" cy="2723515"/>
                    </a:xfrm>
                    <a:prstGeom prst="rect">
                      <a:avLst/>
                    </a:prstGeom>
                  </pic:spPr>
                </pic:pic>
              </a:graphicData>
            </a:graphic>
          </wp:anchor>
        </w:drawing>
      </w:r>
      <w:r>
        <w:rPr>
          <w:rFonts w:hint="default" w:ascii="Times New Roman" w:hAnsi="Times New Roman" w:cs="Times New Roman"/>
          <w:sz w:val="28"/>
          <w:szCs w:val="28"/>
          <w:highlight w:val="none"/>
        </w:rPr>
        <w:t>图3 我市监测企业出口订单景气指数</w:t>
      </w:r>
    </w:p>
    <w:p>
      <w:pPr>
        <w:spacing w:line="240" w:lineRule="auto"/>
        <w:ind w:firstLine="560" w:firstLineChars="200"/>
        <w:jc w:val="center"/>
        <w:rPr>
          <w:rFonts w:hint="default" w:ascii="Times New Roman" w:hAnsi="Times New Roman" w:cs="Times New Roman" w:eastAsiaTheme="minorEastAsia"/>
          <w:sz w:val="28"/>
          <w:szCs w:val="28"/>
          <w:highlight w:val="none"/>
        </w:rPr>
      </w:pPr>
      <w:r>
        <w:rPr>
          <w:rFonts w:hint="default" w:ascii="Times New Roman" w:hAnsi="Times New Roman" w:eastAsia="宋体" w:cs="Times New Roman"/>
          <w:sz w:val="28"/>
          <w:szCs w:val="28"/>
          <w:highlight w:val="none"/>
        </w:rPr>
        <w:br w:type="textWrapping" w:clear="all"/>
      </w:r>
    </w:p>
    <w:p>
      <w:pPr>
        <w:spacing w:line="560" w:lineRule="exact"/>
        <w:ind w:firstLine="640" w:firstLineChars="200"/>
        <w:jc w:val="left"/>
        <w:rPr>
          <w:rFonts w:hint="eastAsia" w:cs="Times New Roman"/>
          <w:bCs/>
          <w:sz w:val="32"/>
          <w:szCs w:val="32"/>
          <w:highlight w:val="none"/>
          <w:lang w:eastAsia="zh-CN"/>
        </w:rPr>
      </w:pPr>
      <w:r>
        <w:rPr>
          <w:rFonts w:hint="default" w:ascii="Times New Roman" w:hAnsi="Times New Roman" w:eastAsia="楷体_GB2312" w:cs="Times New Roman"/>
          <w:bCs/>
          <w:sz w:val="32"/>
          <w:szCs w:val="32"/>
          <w:highlight w:val="none"/>
        </w:rPr>
        <w:t>（四）</w:t>
      </w:r>
      <w:r>
        <w:rPr>
          <w:rFonts w:hint="eastAsia" w:eastAsia="楷体_GB2312" w:cs="Times New Roman"/>
          <w:bCs/>
          <w:sz w:val="32"/>
          <w:szCs w:val="32"/>
          <w:highlight w:val="none"/>
          <w:lang w:eastAsia="zh-CN"/>
        </w:rPr>
        <w:t>订单转移现象略有缓解</w:t>
      </w:r>
      <w:r>
        <w:rPr>
          <w:rFonts w:hint="default" w:ascii="Times New Roman" w:hAnsi="Times New Roman" w:eastAsia="楷体_GB2312" w:cs="Times New Roman"/>
          <w:bCs/>
          <w:sz w:val="32"/>
          <w:szCs w:val="32"/>
          <w:highlight w:val="none"/>
        </w:rPr>
        <w:t>。</w:t>
      </w:r>
      <w:r>
        <w:rPr>
          <w:rFonts w:hint="default" w:ascii="Times New Roman" w:hAnsi="Times New Roman" w:eastAsia="仿宋_GB2312" w:cs="Times New Roman"/>
          <w:bCs/>
          <w:sz w:val="32"/>
          <w:szCs w:val="32"/>
          <w:highlight w:val="none"/>
        </w:rPr>
        <w:t>调查显示，</w:t>
      </w:r>
      <w:r>
        <w:rPr>
          <w:rFonts w:hint="default" w:ascii="Times New Roman" w:hAnsi="Times New Roman" w:eastAsia="仿宋_GB2312" w:cs="Times New Roman"/>
          <w:bCs/>
          <w:sz w:val="32"/>
          <w:szCs w:val="32"/>
          <w:highlight w:val="none"/>
          <w:lang w:val="en-US" w:eastAsia="zh-CN"/>
        </w:rPr>
        <w:t>3</w:t>
      </w:r>
      <w:r>
        <w:rPr>
          <w:rFonts w:hint="default" w:ascii="Times New Roman" w:hAnsi="Times New Roman" w:eastAsia="仿宋_GB2312" w:cs="Times New Roman"/>
          <w:bCs/>
          <w:sz w:val="32"/>
          <w:szCs w:val="32"/>
          <w:highlight w:val="none"/>
        </w:rPr>
        <w:t>月</w:t>
      </w:r>
      <w:r>
        <w:rPr>
          <w:rFonts w:hint="eastAsia" w:cs="Times New Roman"/>
          <w:bCs/>
          <w:sz w:val="32"/>
          <w:szCs w:val="32"/>
          <w:highlight w:val="none"/>
          <w:lang w:eastAsia="zh-CN"/>
        </w:rPr>
        <w:t>企业</w:t>
      </w:r>
      <w:r>
        <w:rPr>
          <w:rFonts w:hint="default" w:ascii="Times New Roman" w:hAnsi="Times New Roman" w:eastAsia="仿宋_GB2312" w:cs="Times New Roman"/>
          <w:bCs/>
          <w:sz w:val="32"/>
          <w:szCs w:val="32"/>
          <w:highlight w:val="none"/>
        </w:rPr>
        <w:t>有</w:t>
      </w:r>
      <w:r>
        <w:rPr>
          <w:rFonts w:hint="default" w:ascii="Times New Roman" w:hAnsi="Times New Roman" w:eastAsia="仿宋_GB2312" w:cs="Times New Roman"/>
          <w:bCs/>
          <w:sz w:val="32"/>
          <w:szCs w:val="32"/>
          <w:highlight w:val="none"/>
          <w:lang w:val="en-US" w:eastAsia="zh-CN"/>
        </w:rPr>
        <w:t>13.8</w:t>
      </w:r>
      <w:r>
        <w:rPr>
          <w:rFonts w:hint="default" w:ascii="Times New Roman" w:hAnsi="Times New Roman" w:eastAsia="仿宋_GB2312" w:cs="Times New Roman"/>
          <w:bCs/>
          <w:sz w:val="32"/>
          <w:szCs w:val="32"/>
          <w:highlight w:val="none"/>
        </w:rPr>
        <w:t>%的企业老客户将订单转向其他厂商，环比、同比分别</w:t>
      </w:r>
      <w:r>
        <w:rPr>
          <w:rFonts w:hint="default" w:ascii="Times New Roman" w:hAnsi="Times New Roman" w:eastAsia="仿宋_GB2312" w:cs="Times New Roman"/>
          <w:bCs/>
          <w:sz w:val="32"/>
          <w:szCs w:val="32"/>
          <w:highlight w:val="none"/>
          <w:lang w:eastAsia="zh-CN"/>
        </w:rPr>
        <w:t>下降</w:t>
      </w:r>
      <w:r>
        <w:rPr>
          <w:rFonts w:hint="default" w:ascii="Times New Roman" w:hAnsi="Times New Roman" w:eastAsia="仿宋_GB2312" w:cs="Times New Roman"/>
          <w:bCs/>
          <w:sz w:val="32"/>
          <w:szCs w:val="32"/>
          <w:highlight w:val="none"/>
          <w:lang w:val="en-US" w:eastAsia="zh-CN"/>
        </w:rPr>
        <w:t>2.3</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val="en-US" w:eastAsia="zh-CN"/>
        </w:rPr>
        <w:t>3.3</w:t>
      </w:r>
      <w:r>
        <w:rPr>
          <w:rFonts w:hint="default" w:ascii="Times New Roman" w:hAnsi="Times New Roman" w:eastAsia="仿宋_GB2312" w:cs="Times New Roman"/>
          <w:bCs/>
          <w:sz w:val="32"/>
          <w:szCs w:val="32"/>
          <w:highlight w:val="none"/>
        </w:rPr>
        <w:t>个百分点。</w:t>
      </w:r>
      <w:r>
        <w:rPr>
          <w:rFonts w:hint="eastAsia" w:cs="Times New Roman"/>
          <w:bCs/>
          <w:sz w:val="32"/>
          <w:szCs w:val="32"/>
          <w:highlight w:val="none"/>
          <w:lang w:eastAsia="zh-CN"/>
        </w:rPr>
        <w:t>其中</w:t>
      </w:r>
      <w:r>
        <w:rPr>
          <w:rFonts w:hint="default" w:ascii="Times New Roman" w:hAnsi="Times New Roman" w:eastAsia="仿宋_GB2312" w:cs="Times New Roman"/>
          <w:sz w:val="32"/>
          <w:szCs w:val="32"/>
          <w:highlight w:val="none"/>
        </w:rPr>
        <w:t>客户订单转移到省内其他地区的占7</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%，较上月增加</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.7个百分点；转移到东南亚等地区的占</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%。三个月以内的短期订单</w:t>
      </w:r>
      <w:r>
        <w:rPr>
          <w:rFonts w:hint="eastAsia" w:cs="Times New Roman"/>
          <w:sz w:val="32"/>
          <w:szCs w:val="32"/>
          <w:highlight w:val="none"/>
          <w:lang w:eastAsia="zh-CN"/>
        </w:rPr>
        <w:t>占订单比重在</w:t>
      </w:r>
      <w:r>
        <w:rPr>
          <w:rFonts w:hint="default" w:ascii="Times New Roman" w:hAnsi="Times New Roman" w:eastAsia="仿宋_GB2312" w:cs="Times New Roman"/>
          <w:sz w:val="32"/>
          <w:szCs w:val="32"/>
          <w:highlight w:val="none"/>
        </w:rPr>
        <w:t>50%以上的企业占比4</w:t>
      </w:r>
      <w:r>
        <w:rPr>
          <w:rFonts w:hint="default" w:ascii="Times New Roman" w:hAnsi="Times New Roman" w:eastAsia="仿宋_GB2312" w:cs="Times New Roman"/>
          <w:sz w:val="32"/>
          <w:szCs w:val="32"/>
          <w:highlight w:val="none"/>
          <w:lang w:val="en-US" w:eastAsia="zh-CN"/>
        </w:rPr>
        <w:t>7.9</w:t>
      </w:r>
      <w:r>
        <w:rPr>
          <w:rFonts w:hint="default" w:ascii="Times New Roman" w:hAnsi="Times New Roman" w:eastAsia="仿宋_GB2312" w:cs="Times New Roman"/>
          <w:sz w:val="32"/>
          <w:szCs w:val="32"/>
          <w:highlight w:val="none"/>
        </w:rPr>
        <w:t>%</w:t>
      </w:r>
      <w:r>
        <w:rPr>
          <w:rFonts w:hint="eastAsia" w:cs="Times New Roman"/>
          <w:sz w:val="32"/>
          <w:szCs w:val="32"/>
          <w:highlight w:val="none"/>
          <w:lang w:eastAsia="zh-CN"/>
        </w:rPr>
        <w:t>，出口订单短期化逐步成为主流。</w:t>
      </w:r>
    </w:p>
    <w:p>
      <w:pPr>
        <w:spacing w:line="560" w:lineRule="exact"/>
        <w:ind w:firstLine="560" w:firstLineChars="200"/>
        <w:jc w:val="center"/>
        <w:rPr>
          <w:rFonts w:hint="default" w:ascii="Times New Roman" w:hAnsi="Times New Roman" w:eastAsia="黑体" w:cs="Times New Roman"/>
          <w:bCs/>
          <w:sz w:val="32"/>
          <w:szCs w:val="32"/>
          <w:highlight w:val="none"/>
        </w:rPr>
      </w:pPr>
      <w:r>
        <w:rPr>
          <w:rFonts w:hint="default" w:ascii="Times New Roman" w:hAnsi="Times New Roman" w:eastAsia="宋体" w:cs="Times New Roman"/>
          <w:sz w:val="28"/>
          <w:szCs w:val="28"/>
          <w:highlight w:val="none"/>
        </w:rPr>
        <w:drawing>
          <wp:anchor distT="0" distB="0" distL="114300" distR="114300" simplePos="0" relativeHeight="251662336" behindDoc="0" locked="0" layoutInCell="1" allowOverlap="1">
            <wp:simplePos x="0" y="0"/>
            <wp:positionH relativeFrom="column">
              <wp:align>center</wp:align>
            </wp:positionH>
            <wp:positionV relativeFrom="paragraph">
              <wp:posOffset>534035</wp:posOffset>
            </wp:positionV>
            <wp:extent cx="5185410" cy="2656205"/>
            <wp:effectExtent l="0" t="0" r="15240" b="10795"/>
            <wp:wrapTopAndBottom/>
            <wp:docPr id="6" name="图片 6" descr="C:\Users\Administrator\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图片2.png图片2"/>
                    <pic:cNvPicPr>
                      <a:picLocks noChangeAspect="1" noChangeArrowheads="1"/>
                    </pic:cNvPicPr>
                  </pic:nvPicPr>
                  <pic:blipFill>
                    <a:blip r:embed="rId9"/>
                    <a:srcRect/>
                    <a:stretch>
                      <a:fillRect/>
                    </a:stretch>
                  </pic:blipFill>
                  <pic:spPr>
                    <a:xfrm>
                      <a:off x="0" y="0"/>
                      <a:ext cx="5185410" cy="2656205"/>
                    </a:xfrm>
                    <a:prstGeom prst="rect">
                      <a:avLst/>
                    </a:prstGeom>
                    <a:noFill/>
                  </pic:spPr>
                </pic:pic>
              </a:graphicData>
            </a:graphic>
          </wp:anchor>
        </w:drawing>
      </w:r>
      <w:r>
        <w:rPr>
          <w:rFonts w:hint="default" w:ascii="Times New Roman" w:hAnsi="Times New Roman" w:cs="Times New Roman"/>
          <w:sz w:val="28"/>
          <w:szCs w:val="28"/>
          <w:highlight w:val="none"/>
        </w:rPr>
        <w:t>图4 我市监测企业订单转移走势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bCs/>
          <w:sz w:val="32"/>
          <w:szCs w:val="32"/>
          <w:highlight w:val="none"/>
        </w:rPr>
        <w:t>三、生产与经营状况</w:t>
      </w:r>
    </w:p>
    <w:p>
      <w:pPr>
        <w:spacing w:line="560" w:lineRule="exact"/>
        <w:ind w:firstLine="640" w:firstLineChars="200"/>
        <w:rPr>
          <w:rFonts w:hint="eastAsia" w:ascii="仿宋_GB2312" w:hAnsi="仿宋_GB2312" w:eastAsia="仿宋_GB2312" w:cs="仿宋_GB2312"/>
          <w:sz w:val="32"/>
          <w:szCs w:val="32"/>
          <w:highlight w:val="none"/>
        </w:rPr>
      </w:pPr>
      <w:r>
        <w:rPr>
          <w:rFonts w:hint="default" w:ascii="Times New Roman" w:hAnsi="Times New Roman" w:eastAsia="楷体_GB2312" w:cs="Times New Roman"/>
          <w:bCs/>
          <w:sz w:val="32"/>
          <w:szCs w:val="32"/>
          <w:highlight w:val="none"/>
        </w:rPr>
        <w:t>（一）企业经营状况总体好转。</w:t>
      </w:r>
      <w:r>
        <w:rPr>
          <w:rFonts w:hint="eastAsia" w:ascii="仿宋_GB2312" w:hAnsi="仿宋_GB2312" w:eastAsia="仿宋_GB2312" w:cs="仿宋_GB2312"/>
          <w:bCs/>
          <w:sz w:val="32"/>
          <w:szCs w:val="32"/>
          <w:highlight w:val="none"/>
          <w:lang w:eastAsia="zh-CN"/>
        </w:rPr>
        <w:t>今年以来企业总体经营情况有盈利占</w:t>
      </w:r>
      <w:r>
        <w:rPr>
          <w:rFonts w:hint="eastAsia" w:ascii="仿宋_GB2312" w:hAnsi="仿宋_GB2312" w:eastAsia="仿宋_GB2312" w:cs="仿宋_GB2312"/>
          <w:bCs/>
          <w:sz w:val="32"/>
          <w:szCs w:val="32"/>
          <w:highlight w:val="none"/>
          <w:lang w:val="en-US" w:eastAsia="zh-CN"/>
        </w:rPr>
        <w:t>48%；保本占41%；仍</w:t>
      </w:r>
      <w:r>
        <w:rPr>
          <w:rFonts w:hint="eastAsia" w:ascii="仿宋_GB2312" w:hAnsi="仿宋_GB2312" w:eastAsia="仿宋_GB2312" w:cs="仿宋_GB2312"/>
          <w:bCs/>
          <w:sz w:val="32"/>
          <w:szCs w:val="32"/>
          <w:highlight w:val="none"/>
        </w:rPr>
        <w:t>有1</w:t>
      </w:r>
      <w:r>
        <w:rPr>
          <w:rFonts w:hint="eastAsia" w:ascii="仿宋_GB2312" w:hAnsi="仿宋_GB2312" w:eastAsia="仿宋_GB2312" w:cs="仿宋_GB2312"/>
          <w:bCs/>
          <w:sz w:val="32"/>
          <w:szCs w:val="32"/>
          <w:highlight w:val="none"/>
          <w:lang w:val="en-US" w:eastAsia="zh-CN"/>
        </w:rPr>
        <w:t>1</w:t>
      </w:r>
      <w:r>
        <w:rPr>
          <w:rFonts w:hint="eastAsia" w:ascii="仿宋_GB2312" w:hAnsi="仿宋_GB2312" w:eastAsia="仿宋_GB2312" w:cs="仿宋_GB2312"/>
          <w:bCs/>
          <w:sz w:val="32"/>
          <w:szCs w:val="32"/>
          <w:highlight w:val="none"/>
        </w:rPr>
        <w:t>%的企业</w:t>
      </w:r>
      <w:r>
        <w:rPr>
          <w:rFonts w:hint="eastAsia" w:ascii="仿宋_GB2312" w:hAnsi="仿宋_GB2312" w:eastAsia="仿宋_GB2312" w:cs="仿宋_GB2312"/>
          <w:bCs/>
          <w:sz w:val="32"/>
          <w:szCs w:val="32"/>
          <w:highlight w:val="none"/>
          <w:lang w:eastAsia="zh-CN"/>
        </w:rPr>
        <w:t>亏损。</w:t>
      </w:r>
      <w:r>
        <w:rPr>
          <w:rFonts w:hint="eastAsia" w:ascii="仿宋_GB2312" w:hAnsi="仿宋_GB2312" w:eastAsia="仿宋_GB2312" w:cs="仿宋_GB2312"/>
          <w:bCs/>
          <w:sz w:val="32"/>
          <w:szCs w:val="32"/>
          <w:highlight w:val="none"/>
        </w:rPr>
        <w:t>预计</w:t>
      </w:r>
      <w:r>
        <w:rPr>
          <w:rFonts w:hint="eastAsia" w:ascii="仿宋_GB2312" w:hAnsi="仿宋_GB2312" w:eastAsia="仿宋_GB2312" w:cs="仿宋_GB2312"/>
          <w:bCs/>
          <w:sz w:val="32"/>
          <w:szCs w:val="32"/>
          <w:highlight w:val="none"/>
          <w:lang w:eastAsia="zh-CN"/>
        </w:rPr>
        <w:t>下一步将会“向好”或“差不多”的占</w:t>
      </w:r>
      <w:r>
        <w:rPr>
          <w:rFonts w:hint="eastAsia" w:ascii="仿宋_GB2312" w:hAnsi="仿宋_GB2312" w:eastAsia="仿宋_GB2312" w:cs="仿宋_GB2312"/>
          <w:bCs/>
          <w:sz w:val="32"/>
          <w:szCs w:val="32"/>
          <w:highlight w:val="none"/>
          <w:lang w:val="en-US" w:eastAsia="zh-CN"/>
        </w:rPr>
        <w:t>94.6%</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其中“向好”的为</w:t>
      </w:r>
      <w:r>
        <w:rPr>
          <w:rFonts w:hint="eastAsia" w:ascii="仿宋_GB2312" w:hAnsi="仿宋_GB2312" w:eastAsia="仿宋_GB2312" w:cs="仿宋_GB2312"/>
          <w:bCs/>
          <w:sz w:val="32"/>
          <w:szCs w:val="32"/>
          <w:highlight w:val="none"/>
          <w:lang w:val="en-US" w:eastAsia="zh-CN"/>
        </w:rPr>
        <w:t>34.6%。</w:t>
      </w:r>
      <w:r>
        <w:rPr>
          <w:rFonts w:hint="eastAsia" w:ascii="仿宋_GB2312" w:hAnsi="仿宋_GB2312" w:eastAsia="仿宋_GB2312" w:cs="仿宋_GB2312"/>
          <w:sz w:val="32"/>
          <w:szCs w:val="32"/>
          <w:highlight w:val="none"/>
        </w:rPr>
        <w:t>国外市场需求不稳、用工成本的提高和原材料价格不断上涨是当前影响企业出口的三大主因，比重分别为</w:t>
      </w:r>
      <w:r>
        <w:rPr>
          <w:rFonts w:hint="eastAsia" w:ascii="仿宋_GB2312" w:hAnsi="仿宋_GB2312" w:eastAsia="仿宋_GB2312" w:cs="仿宋_GB2312"/>
          <w:sz w:val="32"/>
          <w:szCs w:val="32"/>
          <w:highlight w:val="none"/>
          <w:lang w:val="en-US" w:eastAsia="zh-CN"/>
        </w:rPr>
        <w:t>41.9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43.7</w:t>
      </w:r>
      <w:r>
        <w:rPr>
          <w:rFonts w:hint="eastAsia" w:ascii="仿宋_GB2312" w:hAnsi="仿宋_GB2312" w:eastAsia="仿宋_GB2312" w:cs="仿宋_GB2312"/>
          <w:sz w:val="32"/>
          <w:szCs w:val="32"/>
          <w:highlight w:val="none"/>
        </w:rPr>
        <w:t>%和6</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bCs/>
          <w:sz w:val="32"/>
          <w:szCs w:val="32"/>
          <w:highlight w:val="none"/>
        </w:rPr>
      </w:pPr>
      <w:r>
        <w:rPr>
          <w:rFonts w:hint="default" w:ascii="Times New Roman" w:hAnsi="Times New Roman" w:eastAsia="楷体_GB2312" w:cs="Times New Roman"/>
          <w:bCs/>
          <w:sz w:val="32"/>
          <w:szCs w:val="32"/>
          <w:highlight w:val="none"/>
        </w:rPr>
        <w:t>（二）企业用工</w:t>
      </w:r>
      <w:r>
        <w:rPr>
          <w:rFonts w:hint="eastAsia" w:ascii="Times New Roman" w:hAnsi="Times New Roman" w:eastAsia="楷体_GB2312" w:cs="Times New Roman"/>
          <w:bCs/>
          <w:sz w:val="32"/>
          <w:szCs w:val="32"/>
          <w:highlight w:val="none"/>
          <w:lang w:eastAsia="zh-CN"/>
        </w:rPr>
        <w:t>、资金基本</w:t>
      </w:r>
      <w:r>
        <w:rPr>
          <w:rFonts w:hint="default" w:ascii="Times New Roman" w:hAnsi="Times New Roman" w:eastAsia="楷体_GB2312" w:cs="Times New Roman"/>
          <w:bCs/>
          <w:sz w:val="32"/>
          <w:szCs w:val="32"/>
          <w:highlight w:val="none"/>
        </w:rPr>
        <w:t>平稳。</w:t>
      </w:r>
      <w:r>
        <w:rPr>
          <w:rFonts w:hint="eastAsia" w:ascii="仿宋_GB2312" w:hAnsi="仿宋_GB2312" w:eastAsia="仿宋_GB2312" w:cs="仿宋_GB2312"/>
          <w:sz w:val="32"/>
          <w:szCs w:val="32"/>
          <w:highlight w:val="none"/>
        </w:rPr>
        <w:t>截至</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月底，共有</w:t>
      </w:r>
      <w:r>
        <w:rPr>
          <w:rFonts w:hint="eastAsia" w:ascii="仿宋_GB2312" w:hAnsi="仿宋_GB2312" w:eastAsia="仿宋_GB2312" w:cs="仿宋_GB2312"/>
          <w:sz w:val="32"/>
          <w:szCs w:val="32"/>
          <w:highlight w:val="none"/>
          <w:lang w:val="en-US" w:eastAsia="zh-CN"/>
        </w:rPr>
        <w:t>145231</w:t>
      </w:r>
      <w:r>
        <w:rPr>
          <w:rFonts w:hint="eastAsia" w:ascii="仿宋_GB2312" w:hAnsi="仿宋_GB2312" w:eastAsia="仿宋_GB2312" w:cs="仿宋_GB2312"/>
          <w:sz w:val="32"/>
          <w:szCs w:val="32"/>
          <w:highlight w:val="none"/>
        </w:rPr>
        <w:t>人在97</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家企业中供职，企业生产员工的平均工资上升和持平的企业占比 97.</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目前企业用工不紧缺与略</w:t>
      </w:r>
      <w:r>
        <w:rPr>
          <w:rFonts w:hint="eastAsia" w:ascii="仿宋_GB2312" w:hAnsi="仿宋_GB2312" w:eastAsia="仿宋_GB2312" w:cs="仿宋_GB2312"/>
          <w:sz w:val="32"/>
          <w:szCs w:val="32"/>
          <w:highlight w:val="none"/>
          <w:lang w:eastAsia="zh-CN"/>
        </w:rPr>
        <w:t>紧缺</w:t>
      </w:r>
      <w:r>
        <w:rPr>
          <w:rFonts w:hint="eastAsia" w:ascii="仿宋_GB2312" w:hAnsi="仿宋_GB2312" w:eastAsia="仿宋_GB2312" w:cs="仿宋_GB2312"/>
          <w:sz w:val="32"/>
          <w:szCs w:val="32"/>
          <w:highlight w:val="none"/>
        </w:rPr>
        <w:t>的占</w:t>
      </w:r>
      <w:r>
        <w:rPr>
          <w:rFonts w:hint="eastAsia" w:ascii="仿宋_GB2312" w:hAnsi="仿宋_GB2312" w:eastAsia="仿宋_GB2312" w:cs="仿宋_GB2312"/>
          <w:sz w:val="32"/>
          <w:szCs w:val="32"/>
          <w:highlight w:val="none"/>
          <w:lang w:val="en-US" w:eastAsia="zh-CN"/>
        </w:rPr>
        <w:t>94.9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很</w:t>
      </w:r>
      <w:r>
        <w:rPr>
          <w:rFonts w:hint="eastAsia" w:ascii="仿宋_GB2312" w:hAnsi="仿宋_GB2312" w:eastAsia="仿宋_GB2312" w:cs="仿宋_GB2312"/>
          <w:sz w:val="32"/>
          <w:szCs w:val="32"/>
          <w:highlight w:val="none"/>
        </w:rPr>
        <w:t>紧缺占</w:t>
      </w:r>
      <w:r>
        <w:rPr>
          <w:rFonts w:hint="eastAsia" w:ascii="仿宋_GB2312" w:hAnsi="仿宋_GB2312" w:eastAsia="仿宋_GB2312" w:cs="仿宋_GB2312"/>
          <w:sz w:val="32"/>
          <w:szCs w:val="32"/>
          <w:highlight w:val="none"/>
          <w:lang w:val="en-US" w:eastAsia="zh-CN"/>
        </w:rPr>
        <w:t>5.1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用工情况基本正常。</w:t>
      </w:r>
      <w:r>
        <w:rPr>
          <w:rFonts w:hint="eastAsia" w:ascii="仿宋_GB2312" w:hAnsi="仿宋_GB2312" w:eastAsia="仿宋_GB2312" w:cs="仿宋_GB2312"/>
          <w:sz w:val="32"/>
          <w:szCs w:val="32"/>
          <w:highlight w:val="none"/>
          <w:lang w:eastAsia="zh-CN"/>
        </w:rPr>
        <w:t>同期全市企业平均</w:t>
      </w:r>
      <w:r>
        <w:rPr>
          <w:rFonts w:hint="default" w:ascii="Times New Roman" w:hAnsi="Times New Roman" w:eastAsia="仿宋_GB2312" w:cs="Times New Roman"/>
          <w:bCs/>
          <w:sz w:val="32"/>
          <w:szCs w:val="32"/>
          <w:highlight w:val="none"/>
          <w:lang w:val="en-US" w:eastAsia="zh-CN"/>
        </w:rPr>
        <w:t>银行资金满足率65.1%。</w:t>
      </w:r>
      <w:r>
        <w:rPr>
          <w:rFonts w:hint="default" w:ascii="Times New Roman" w:hAnsi="Times New Roman" w:eastAsia="仿宋_GB2312" w:cs="Times New Roman"/>
          <w:bCs/>
          <w:sz w:val="32"/>
          <w:szCs w:val="32"/>
          <w:highlight w:val="none"/>
          <w:lang w:eastAsia="zh-CN"/>
        </w:rPr>
        <w:t>资金状况充裕</w:t>
      </w:r>
      <w:r>
        <w:rPr>
          <w:rFonts w:hint="eastAsia" w:ascii="Times New Roman" w:hAnsi="Times New Roman" w:eastAsia="仿宋_GB2312" w:cs="Times New Roman"/>
          <w:bCs/>
          <w:sz w:val="32"/>
          <w:szCs w:val="32"/>
          <w:highlight w:val="none"/>
          <w:lang w:eastAsia="zh-CN"/>
        </w:rPr>
        <w:t>的企业</w:t>
      </w:r>
      <w:r>
        <w:rPr>
          <w:rFonts w:hint="default" w:ascii="Times New Roman" w:hAnsi="Times New Roman" w:eastAsia="仿宋_GB2312" w:cs="Times New Roman"/>
          <w:bCs/>
          <w:sz w:val="32"/>
          <w:szCs w:val="32"/>
          <w:highlight w:val="none"/>
          <w:lang w:eastAsia="zh-CN"/>
        </w:rPr>
        <w:t>占</w:t>
      </w:r>
      <w:r>
        <w:rPr>
          <w:rFonts w:hint="default" w:ascii="Times New Roman" w:hAnsi="Times New Roman" w:eastAsia="仿宋_GB2312" w:cs="Times New Roman"/>
          <w:bCs/>
          <w:sz w:val="32"/>
          <w:szCs w:val="32"/>
          <w:highlight w:val="none"/>
          <w:lang w:val="en-US" w:eastAsia="zh-CN"/>
        </w:rPr>
        <w:t>17.4%；</w:t>
      </w:r>
      <w:r>
        <w:rPr>
          <w:rFonts w:hint="default" w:ascii="Times New Roman" w:hAnsi="Times New Roman" w:eastAsia="仿宋_GB2312" w:cs="Times New Roman"/>
          <w:bCs/>
          <w:sz w:val="32"/>
          <w:szCs w:val="32"/>
          <w:highlight w:val="none"/>
          <w:lang w:eastAsia="zh-CN"/>
        </w:rPr>
        <w:t>维持正常占</w:t>
      </w:r>
      <w:r>
        <w:rPr>
          <w:rFonts w:hint="default" w:ascii="Times New Roman" w:hAnsi="Times New Roman" w:eastAsia="仿宋_GB2312" w:cs="Times New Roman"/>
          <w:bCs/>
          <w:sz w:val="32"/>
          <w:szCs w:val="32"/>
          <w:highlight w:val="none"/>
          <w:lang w:val="en-US" w:eastAsia="zh-CN"/>
        </w:rPr>
        <w:t>86.6%；紧张占13.4%。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highlight w:val="none"/>
        </w:rPr>
      </w:pPr>
      <w:r>
        <w:rPr>
          <w:rFonts w:hint="default" w:ascii="Times New Roman" w:hAnsi="Times New Roman" w:eastAsia="黑体" w:cs="Times New Roman"/>
          <w:bCs/>
          <w:sz w:val="32"/>
          <w:szCs w:val="32"/>
          <w:highlight w:val="none"/>
        </w:rPr>
        <w:t>四、</w:t>
      </w:r>
      <w:r>
        <w:rPr>
          <w:rFonts w:hint="eastAsia" w:ascii="Times New Roman" w:hAnsi="Times New Roman" w:eastAsia="黑体" w:cs="Times New Roman"/>
          <w:bCs/>
          <w:sz w:val="32"/>
          <w:szCs w:val="32"/>
          <w:highlight w:val="none"/>
          <w:lang w:eastAsia="zh-CN"/>
        </w:rPr>
        <w:t>其他情况</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Cs/>
          <w:sz w:val="32"/>
          <w:szCs w:val="32"/>
          <w:highlight w:val="none"/>
        </w:rPr>
        <w:t>（一）保持出口退税率稳定仍是出口企业期望外贸政策支持的首选。</w:t>
      </w:r>
      <w:r>
        <w:rPr>
          <w:rFonts w:hint="default" w:ascii="Times New Roman" w:hAnsi="Times New Roman" w:eastAsia="仿宋_GB2312" w:cs="Times New Roman"/>
          <w:sz w:val="32"/>
          <w:szCs w:val="32"/>
          <w:highlight w:val="none"/>
        </w:rPr>
        <w:t>有</w:t>
      </w:r>
      <w:r>
        <w:rPr>
          <w:rFonts w:hint="default" w:ascii="Times New Roman" w:hAnsi="Times New Roman" w:eastAsia="仿宋_GB2312" w:cs="Times New Roman"/>
          <w:sz w:val="32"/>
          <w:szCs w:val="32"/>
          <w:highlight w:val="none"/>
          <w:lang w:val="en-US" w:eastAsia="zh-CN"/>
        </w:rPr>
        <w:t>67.8</w:t>
      </w:r>
      <w:r>
        <w:rPr>
          <w:rFonts w:hint="default" w:ascii="Times New Roman" w:hAnsi="Times New Roman" w:eastAsia="仿宋_GB2312" w:cs="Times New Roman"/>
          <w:sz w:val="32"/>
          <w:szCs w:val="32"/>
          <w:highlight w:val="none"/>
        </w:rPr>
        <w:t>%的企业希望政府继续保持出口退税率的基本稳定，给予企业出口大力支持。选择适当减免企业税费项占</w:t>
      </w:r>
      <w:r>
        <w:rPr>
          <w:rFonts w:hint="default" w:ascii="Times New Roman" w:hAnsi="Times New Roman" w:eastAsia="仿宋_GB2312" w:cs="Times New Roman"/>
          <w:sz w:val="32"/>
          <w:szCs w:val="32"/>
          <w:highlight w:val="none"/>
          <w:lang w:val="en-US" w:eastAsia="zh-CN"/>
        </w:rPr>
        <w:t>47.3</w:t>
      </w:r>
      <w:r>
        <w:rPr>
          <w:rFonts w:hint="default" w:ascii="Times New Roman" w:hAnsi="Times New Roman" w:eastAsia="仿宋_GB2312" w:cs="Times New Roman"/>
          <w:sz w:val="32"/>
          <w:szCs w:val="32"/>
          <w:highlight w:val="none"/>
        </w:rPr>
        <w:t>%，支持企业开拓国际市场项和</w:t>
      </w:r>
      <w:r>
        <w:rPr>
          <w:rFonts w:hint="default" w:ascii="Times New Roman" w:hAnsi="Times New Roman" w:eastAsia="仿宋_GB2312" w:cs="Times New Roman"/>
          <w:sz w:val="32"/>
          <w:szCs w:val="32"/>
          <w:highlight w:val="none"/>
          <w:lang w:eastAsia="zh-CN"/>
        </w:rPr>
        <w:t>保持人民币汇率稳定</w:t>
      </w:r>
      <w:r>
        <w:rPr>
          <w:rFonts w:hint="default" w:ascii="Times New Roman" w:hAnsi="Times New Roman" w:eastAsia="仿宋_GB2312" w:cs="Times New Roman"/>
          <w:sz w:val="32"/>
          <w:szCs w:val="32"/>
          <w:highlight w:val="none"/>
        </w:rPr>
        <w:t>分别占4</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%、3</w:t>
      </w:r>
      <w:r>
        <w:rPr>
          <w:rFonts w:hint="default" w:ascii="Times New Roman" w:hAnsi="Times New Roman" w:eastAsia="仿宋_GB2312" w:cs="Times New Roman"/>
          <w:sz w:val="32"/>
          <w:szCs w:val="32"/>
          <w:highlight w:val="none"/>
          <w:lang w:val="en-US" w:eastAsia="zh-CN"/>
        </w:rPr>
        <w:t>0.5</w:t>
      </w:r>
      <w:r>
        <w:rPr>
          <w:rFonts w:hint="default" w:ascii="Times New Roman" w:hAnsi="Times New Roman" w:eastAsia="仿宋_GB2312" w:cs="Times New Roman"/>
          <w:sz w:val="32"/>
          <w:szCs w:val="32"/>
          <w:highlight w:val="none"/>
        </w:rPr>
        <w:t>%。</w:t>
      </w:r>
    </w:p>
    <w:p>
      <w:pPr>
        <w:spacing w:line="560" w:lineRule="exact"/>
        <w:ind w:firstLine="640" w:firstLineChars="200"/>
        <w:rPr>
          <w:rFonts w:hint="default" w:ascii="Times New Roman" w:hAnsi="Times New Roman" w:eastAsia="仿宋_GB2312" w:cs="Times New Roman"/>
          <w:b/>
          <w:bCs/>
          <w:sz w:val="32"/>
          <w:szCs w:val="32"/>
          <w:highlight w:val="none"/>
        </w:rPr>
      </w:pPr>
      <w:r>
        <w:rPr>
          <w:rFonts w:hint="default" w:ascii="Times New Roman" w:hAnsi="Times New Roman" w:eastAsia="楷体_GB2312" w:cs="Times New Roman"/>
          <w:bCs/>
          <w:sz w:val="32"/>
          <w:szCs w:val="32"/>
          <w:highlight w:val="none"/>
        </w:rPr>
        <w:t>（二）货币政策及相关汇率调查情况。</w:t>
      </w:r>
      <w:r>
        <w:rPr>
          <w:rFonts w:hint="default" w:ascii="Times New Roman" w:hAnsi="Times New Roman" w:eastAsia="仿宋_GB2312" w:cs="Times New Roman"/>
          <w:sz w:val="32"/>
          <w:szCs w:val="32"/>
          <w:highlight w:val="none"/>
        </w:rPr>
        <w:t>货币政策的调查显示，选择继续收紧银根，以期原材料价格能保持相对稳定或逐渐回落的企业，占比为</w:t>
      </w:r>
      <w:r>
        <w:rPr>
          <w:rFonts w:hint="default" w:ascii="Times New Roman" w:hAnsi="Times New Roman" w:eastAsia="仿宋_GB2312" w:cs="Times New Roman"/>
          <w:sz w:val="32"/>
          <w:szCs w:val="32"/>
          <w:highlight w:val="none"/>
          <w:lang w:val="en-US" w:eastAsia="zh-CN"/>
        </w:rPr>
        <w:t>84.9</w:t>
      </w:r>
      <w:r>
        <w:rPr>
          <w:rFonts w:hint="default" w:ascii="Times New Roman" w:hAnsi="Times New Roman" w:eastAsia="仿宋_GB2312" w:cs="Times New Roman"/>
          <w:sz w:val="32"/>
          <w:szCs w:val="32"/>
          <w:highlight w:val="none"/>
        </w:rPr>
        <w:t>%，比上季度增加</w:t>
      </w:r>
      <w:r>
        <w:rPr>
          <w:rFonts w:hint="default" w:ascii="Times New Roman" w:hAnsi="Times New Roman" w:eastAsia="仿宋_GB2312" w:cs="Times New Roman"/>
          <w:sz w:val="32"/>
          <w:szCs w:val="32"/>
          <w:highlight w:val="none"/>
          <w:lang w:val="en-US" w:eastAsia="zh-CN"/>
        </w:rPr>
        <w:t>4.3</w:t>
      </w:r>
      <w:r>
        <w:rPr>
          <w:rFonts w:hint="default" w:ascii="Times New Roman" w:hAnsi="Times New Roman" w:eastAsia="仿宋_GB2312" w:cs="Times New Roman"/>
          <w:sz w:val="32"/>
          <w:szCs w:val="32"/>
          <w:highlight w:val="none"/>
        </w:rPr>
        <w:t>个百分点。汇率问题调查显示，为了应对人民币汇率波动对出口的影响，主要采取调整出口价格和远期锁汇的方式，企业占比分别为</w:t>
      </w:r>
      <w:r>
        <w:rPr>
          <w:rFonts w:hint="default" w:ascii="Times New Roman" w:hAnsi="Times New Roman" w:eastAsia="仿宋_GB2312" w:cs="Times New Roman"/>
          <w:sz w:val="32"/>
          <w:szCs w:val="32"/>
          <w:highlight w:val="none"/>
          <w:lang w:val="en-US" w:eastAsia="zh-CN"/>
        </w:rPr>
        <w:t>53.1</w:t>
      </w:r>
      <w:r>
        <w:rPr>
          <w:rFonts w:hint="default" w:ascii="Times New Roman" w:hAnsi="Times New Roman" w:eastAsia="仿宋_GB2312" w:cs="Times New Roman"/>
          <w:sz w:val="32"/>
          <w:szCs w:val="32"/>
          <w:highlight w:val="none"/>
        </w:rPr>
        <w:t>%和26%，采用多币种结算（占25%），不接或少接长期订单（1</w:t>
      </w:r>
      <w:r>
        <w:rPr>
          <w:rFonts w:hint="default" w:ascii="Times New Roman" w:hAnsi="Times New Roman" w:eastAsia="仿宋_GB2312" w:cs="Times New Roman"/>
          <w:sz w:val="32"/>
          <w:szCs w:val="32"/>
          <w:highlight w:val="none"/>
          <w:lang w:val="en-US" w:eastAsia="zh-CN"/>
        </w:rPr>
        <w:t>5.9</w:t>
      </w:r>
      <w:r>
        <w:rPr>
          <w:rFonts w:hint="default" w:ascii="Times New Roman" w:hAnsi="Times New Roman" w:eastAsia="仿宋_GB2312" w:cs="Times New Roman"/>
          <w:sz w:val="32"/>
          <w:szCs w:val="32"/>
          <w:highlight w:val="none"/>
        </w:rPr>
        <w:t>%）和利用单据融资（</w:t>
      </w:r>
      <w:r>
        <w:rPr>
          <w:rFonts w:hint="default" w:ascii="Times New Roman" w:hAnsi="Times New Roman" w:eastAsia="仿宋_GB2312" w:cs="Times New Roman"/>
          <w:sz w:val="32"/>
          <w:szCs w:val="32"/>
          <w:highlight w:val="none"/>
          <w:lang w:val="en-US" w:eastAsia="zh-CN"/>
        </w:rPr>
        <w:t>7.9</w:t>
      </w:r>
      <w:r>
        <w:rPr>
          <w:rFonts w:hint="default" w:ascii="Times New Roman" w:hAnsi="Times New Roman" w:eastAsia="仿宋_GB2312" w:cs="Times New Roman"/>
          <w:sz w:val="32"/>
          <w:szCs w:val="32"/>
          <w:highlight w:val="none"/>
        </w:rPr>
        <w:t>%）也是企业选择采用的方式。</w:t>
      </w:r>
      <w:r>
        <w:rPr>
          <w:rFonts w:hint="default" w:ascii="Times New Roman" w:hAnsi="Times New Roman" w:eastAsia="仿宋_GB2312" w:cs="Times New Roman"/>
          <w:b/>
          <w:bCs/>
          <w:sz w:val="32"/>
          <w:szCs w:val="32"/>
          <w:highlight w:val="none"/>
        </w:rPr>
        <w:t xml:space="preserve"> </w:t>
      </w:r>
    </w:p>
    <w:p>
      <w:pPr>
        <w:spacing w:line="560" w:lineRule="exact"/>
        <w:ind w:firstLine="640" w:firstLineChars="200"/>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（三）品牌培育助力企业出口。</w:t>
      </w:r>
      <w:r>
        <w:rPr>
          <w:rFonts w:hint="eastAsia" w:ascii="Times New Roman" w:hAnsi="Times New Roman" w:eastAsia="仿宋_GB2312" w:cs="Times New Roman"/>
          <w:sz w:val="32"/>
          <w:szCs w:val="32"/>
          <w:highlight w:val="none"/>
          <w:lang w:eastAsia="zh-CN"/>
        </w:rPr>
        <w:t>据调查，</w:t>
      </w:r>
      <w:r>
        <w:rPr>
          <w:rFonts w:hint="eastAsia" w:ascii="Times New Roman" w:hAnsi="Times New Roman" w:eastAsia="仿宋_GB2312" w:cs="Times New Roman"/>
          <w:sz w:val="32"/>
          <w:szCs w:val="32"/>
          <w:highlight w:val="none"/>
          <w:lang w:val="en-US" w:eastAsia="zh-CN"/>
        </w:rPr>
        <w:t>24.8%的企业近年来开展了各类品牌培育，其中64.4%的企业认为品牌培育利于企业销售和出口。57%的企业近年来有对产品提升档次，其中80.3%的企业认为提升产品档次利于企业销售和出口。技术改造、机器换人、信息化等均对企业销售、出口有利。</w:t>
      </w:r>
    </w:p>
    <w:p>
      <w:pPr>
        <w:spacing w:line="560" w:lineRule="exact"/>
        <w:ind w:firstLine="640" w:firstLineChars="200"/>
        <w:rPr>
          <w:rFonts w:hint="default" w:ascii="Times New Roman" w:hAnsi="Times New Roman" w:eastAsia="仿宋_GB2312" w:cs="Times New Roman"/>
          <w:bCs/>
          <w:sz w:val="32"/>
          <w:szCs w:val="32"/>
          <w:highlight w:val="none"/>
        </w:rPr>
      </w:pPr>
      <w:bookmarkStart w:id="0" w:name="_GoBack"/>
      <w:bookmarkEnd w:id="0"/>
    </w:p>
    <w:sectPr>
      <w:headerReference r:id="rId3" w:type="default"/>
      <w:footerReference r:id="rId4" w:type="default"/>
      <w:pgSz w:w="11906" w:h="16838"/>
      <w:pgMar w:top="1714" w:right="1531" w:bottom="1558" w:left="1531" w:header="1134"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T">
    <w:altName w:val="Indiana State"/>
    <w:panose1 w:val="00000000000000000000"/>
    <w:charset w:val="00"/>
    <w:family w:val="auto"/>
    <w:pitch w:val="default"/>
    <w:sig w:usb0="00000000" w:usb1="00000000" w:usb2="00000000" w:usb3="00000000" w:csb0="00000000" w:csb1="00000000"/>
  </w:font>
  <w:font w:name="Indiana State">
    <w:panose1 w:val="02000500000000000000"/>
    <w:charset w:val="00"/>
    <w:family w:val="auto"/>
    <w:pitch w:val="default"/>
    <w:sig w:usb0="800000A7" w:usb1="5000004A" w:usb2="00000000" w:usb3="00000000" w:csb0="20000111" w:csb1="41000000"/>
  </w:font>
  <w:font w:name="Tahoma">
    <w:panose1 w:val="020B0604030504040204"/>
    <w:charset w:val="00"/>
    <w:family w:val="auto"/>
    <w:pitch w:val="default"/>
    <w:sig w:usb0="E1002EFF" w:usb1="C000605B" w:usb2="00000029" w:usb3="00000000" w:csb0="200101FF" w:csb1="20280000"/>
  </w:font>
  <w:font w:name="TI">
    <w:altName w:val="Indiana State"/>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中文正">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中文">
    <w:altName w:val="Segoe Print"/>
    <w:panose1 w:val="00000000000000000000"/>
    <w:charset w:val="00"/>
    <w:family w:val="auto"/>
    <w:pitch w:val="default"/>
    <w:sig w:usb0="00000000" w:usb1="00000000" w:usb2="00000000" w:usb3="00000000" w:csb0="00000000" w:csb1="00000000"/>
  </w:font>
  <w:font w:name="+中">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出">
    <w:altName w:val="Segoe Print"/>
    <w:panose1 w:val="00000000000000000000"/>
    <w:charset w:val="00"/>
    <w:family w:val="auto"/>
    <w:pitch w:val="default"/>
    <w:sig w:usb0="00000000" w:usb1="00000000" w:usb2="00000000" w:usb3="00000000" w:csb0="00000000" w:csb1="00000000"/>
  </w:font>
  <w:font w:name="出口">
    <w:altName w:val="Segoe Print"/>
    <w:panose1 w:val="00000000000000000000"/>
    <w:charset w:val="00"/>
    <w:family w:val="auto"/>
    <w:pitch w:val="default"/>
    <w:sig w:usb0="00000000" w:usb1="00000000" w:usb2="00000000" w:usb3="00000000" w:csb0="00000000" w:csb1="00000000"/>
  </w:font>
  <w:font w:name="出口信心">
    <w:altName w:val="Segoe Print"/>
    <w:panose1 w:val="00000000000000000000"/>
    <w:charset w:val="00"/>
    <w:family w:val="auto"/>
    <w:pitch w:val="default"/>
    <w:sig w:usb0="00000000" w:usb1="00000000" w:usb2="00000000" w:usb3="00000000" w:csb0="00000000" w:csb1="00000000"/>
  </w:font>
  <w:font w:name="出口信心指">
    <w:altName w:val="Segoe Print"/>
    <w:panose1 w:val="00000000000000000000"/>
    <w:charset w:val="00"/>
    <w:family w:val="auto"/>
    <w:pitch w:val="default"/>
    <w:sig w:usb0="00000000" w:usb1="00000000" w:usb2="00000000" w:usb3="00000000" w:csb0="00000000" w:csb1="00000000"/>
  </w:font>
  <w:font w:name="出口信心指数">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tim">
    <w:altName w:val="Indiana State"/>
    <w:panose1 w:val="00000000000000000000"/>
    <w:charset w:val="00"/>
    <w:family w:val="auto"/>
    <w:pitch w:val="default"/>
    <w:sig w:usb0="00000000" w:usb1="00000000" w:usb2="00000000" w:usb3="00000000" w:csb0="00000000" w:csb1="00000000"/>
  </w:font>
  <w:font w:name="方正楷体">
    <w:altName w:val="楷体_GB2312"/>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钟齐陈伟勋硬笔行楷简">
    <w:panose1 w:val="02010600030101010101"/>
    <w:charset w:val="86"/>
    <w:family w:val="auto"/>
    <w:pitch w:val="default"/>
    <w:sig w:usb0="00000003" w:usb1="080E0000" w:usb2="00000000" w:usb3="00000000" w:csb0="00040001" w:csb1="00000000"/>
  </w:font>
  <w:font w:name="方正大标宋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Arabic </w:instrText>
    </w:r>
    <w:r>
      <w:fldChar w:fldCharType="separate"/>
    </w:r>
    <w:r>
      <w:t>4</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01FE2"/>
    <w:rsid w:val="000126B6"/>
    <w:rsid w:val="0005576F"/>
    <w:rsid w:val="00085DB5"/>
    <w:rsid w:val="000978CC"/>
    <w:rsid w:val="000D037E"/>
    <w:rsid w:val="000E39A6"/>
    <w:rsid w:val="000E46DB"/>
    <w:rsid w:val="00103E25"/>
    <w:rsid w:val="00141DB1"/>
    <w:rsid w:val="00171ECB"/>
    <w:rsid w:val="00176D32"/>
    <w:rsid w:val="00182D21"/>
    <w:rsid w:val="001905CB"/>
    <w:rsid w:val="00197E20"/>
    <w:rsid w:val="001A3D6F"/>
    <w:rsid w:val="001C3918"/>
    <w:rsid w:val="001E417D"/>
    <w:rsid w:val="001F2D42"/>
    <w:rsid w:val="001F7296"/>
    <w:rsid w:val="0022324F"/>
    <w:rsid w:val="00231F01"/>
    <w:rsid w:val="00237E58"/>
    <w:rsid w:val="00254612"/>
    <w:rsid w:val="002603F9"/>
    <w:rsid w:val="00264848"/>
    <w:rsid w:val="0027535B"/>
    <w:rsid w:val="002762EF"/>
    <w:rsid w:val="00277E43"/>
    <w:rsid w:val="002A26D8"/>
    <w:rsid w:val="002D686C"/>
    <w:rsid w:val="002F0A1A"/>
    <w:rsid w:val="002F22B6"/>
    <w:rsid w:val="00320B1C"/>
    <w:rsid w:val="00373DFE"/>
    <w:rsid w:val="00387A41"/>
    <w:rsid w:val="003B030E"/>
    <w:rsid w:val="00444A51"/>
    <w:rsid w:val="0045018C"/>
    <w:rsid w:val="00452A6C"/>
    <w:rsid w:val="00472FFF"/>
    <w:rsid w:val="00473CA3"/>
    <w:rsid w:val="004907B9"/>
    <w:rsid w:val="00490E3B"/>
    <w:rsid w:val="0049540C"/>
    <w:rsid w:val="004A43BE"/>
    <w:rsid w:val="004A5019"/>
    <w:rsid w:val="004A6389"/>
    <w:rsid w:val="004C3016"/>
    <w:rsid w:val="004E4E33"/>
    <w:rsid w:val="00566DCA"/>
    <w:rsid w:val="0057577D"/>
    <w:rsid w:val="005A3969"/>
    <w:rsid w:val="005D42B0"/>
    <w:rsid w:val="005F4259"/>
    <w:rsid w:val="00615FEB"/>
    <w:rsid w:val="0062732E"/>
    <w:rsid w:val="0065050B"/>
    <w:rsid w:val="00655807"/>
    <w:rsid w:val="00661D08"/>
    <w:rsid w:val="00674121"/>
    <w:rsid w:val="00680CE8"/>
    <w:rsid w:val="00683F0B"/>
    <w:rsid w:val="006936B6"/>
    <w:rsid w:val="006A642B"/>
    <w:rsid w:val="006E1F01"/>
    <w:rsid w:val="00706DC4"/>
    <w:rsid w:val="007414A3"/>
    <w:rsid w:val="00752023"/>
    <w:rsid w:val="00753EC4"/>
    <w:rsid w:val="007A7E7C"/>
    <w:rsid w:val="007F33C9"/>
    <w:rsid w:val="00804C63"/>
    <w:rsid w:val="008163A9"/>
    <w:rsid w:val="00821B97"/>
    <w:rsid w:val="00823B3C"/>
    <w:rsid w:val="008325D9"/>
    <w:rsid w:val="008405AB"/>
    <w:rsid w:val="00895410"/>
    <w:rsid w:val="00910D14"/>
    <w:rsid w:val="009210ED"/>
    <w:rsid w:val="009B1C2D"/>
    <w:rsid w:val="009B47B6"/>
    <w:rsid w:val="009B7DF9"/>
    <w:rsid w:val="009E691B"/>
    <w:rsid w:val="00A12F1F"/>
    <w:rsid w:val="00A51C3B"/>
    <w:rsid w:val="00A91F80"/>
    <w:rsid w:val="00AB3921"/>
    <w:rsid w:val="00AD0D6F"/>
    <w:rsid w:val="00AD3448"/>
    <w:rsid w:val="00AE5A87"/>
    <w:rsid w:val="00B00C6D"/>
    <w:rsid w:val="00B12E80"/>
    <w:rsid w:val="00B14477"/>
    <w:rsid w:val="00B27671"/>
    <w:rsid w:val="00B6304F"/>
    <w:rsid w:val="00B63145"/>
    <w:rsid w:val="00B772AB"/>
    <w:rsid w:val="00BA2C78"/>
    <w:rsid w:val="00BD0711"/>
    <w:rsid w:val="00BD5106"/>
    <w:rsid w:val="00BF23C7"/>
    <w:rsid w:val="00C04E5A"/>
    <w:rsid w:val="00C05BED"/>
    <w:rsid w:val="00C10855"/>
    <w:rsid w:val="00C118F8"/>
    <w:rsid w:val="00C331AD"/>
    <w:rsid w:val="00C5361A"/>
    <w:rsid w:val="00C97D0D"/>
    <w:rsid w:val="00CA28B7"/>
    <w:rsid w:val="00CA2B61"/>
    <w:rsid w:val="00CC13C0"/>
    <w:rsid w:val="00CC13F5"/>
    <w:rsid w:val="00CF70E3"/>
    <w:rsid w:val="00D36237"/>
    <w:rsid w:val="00D454AF"/>
    <w:rsid w:val="00D63FA1"/>
    <w:rsid w:val="00D810D6"/>
    <w:rsid w:val="00D84C82"/>
    <w:rsid w:val="00DB2E42"/>
    <w:rsid w:val="00DC395C"/>
    <w:rsid w:val="00E52813"/>
    <w:rsid w:val="00E81423"/>
    <w:rsid w:val="00E82EF8"/>
    <w:rsid w:val="00EA4F78"/>
    <w:rsid w:val="00EA5297"/>
    <w:rsid w:val="00EA66C3"/>
    <w:rsid w:val="00EC3AC9"/>
    <w:rsid w:val="00EF753C"/>
    <w:rsid w:val="00F06A5D"/>
    <w:rsid w:val="00F2762E"/>
    <w:rsid w:val="00F31E4E"/>
    <w:rsid w:val="00F379CD"/>
    <w:rsid w:val="00F81D27"/>
    <w:rsid w:val="00F905E7"/>
    <w:rsid w:val="00FB59AF"/>
    <w:rsid w:val="00FC2DA0"/>
    <w:rsid w:val="00FC3287"/>
    <w:rsid w:val="00FD438A"/>
    <w:rsid w:val="00FE671B"/>
    <w:rsid w:val="010B4A93"/>
    <w:rsid w:val="02A76C08"/>
    <w:rsid w:val="03D672ED"/>
    <w:rsid w:val="075C26C1"/>
    <w:rsid w:val="0A5049DE"/>
    <w:rsid w:val="0AEE3794"/>
    <w:rsid w:val="0B211F27"/>
    <w:rsid w:val="0C2B3C60"/>
    <w:rsid w:val="0CE931CF"/>
    <w:rsid w:val="1225289E"/>
    <w:rsid w:val="14395084"/>
    <w:rsid w:val="175F2B80"/>
    <w:rsid w:val="1D811C81"/>
    <w:rsid w:val="214E4354"/>
    <w:rsid w:val="21963EF4"/>
    <w:rsid w:val="224F2853"/>
    <w:rsid w:val="22EE013E"/>
    <w:rsid w:val="23B20BB5"/>
    <w:rsid w:val="23D51F86"/>
    <w:rsid w:val="256B58F0"/>
    <w:rsid w:val="26A337DC"/>
    <w:rsid w:val="28194247"/>
    <w:rsid w:val="29031CF4"/>
    <w:rsid w:val="2C593068"/>
    <w:rsid w:val="2CCE0B58"/>
    <w:rsid w:val="2EE62D83"/>
    <w:rsid w:val="30890311"/>
    <w:rsid w:val="317D4B16"/>
    <w:rsid w:val="347D3E96"/>
    <w:rsid w:val="36156CB0"/>
    <w:rsid w:val="36D51C4E"/>
    <w:rsid w:val="39BF16CA"/>
    <w:rsid w:val="3A8116F4"/>
    <w:rsid w:val="3A9E67DC"/>
    <w:rsid w:val="3AB54F16"/>
    <w:rsid w:val="3B117D6E"/>
    <w:rsid w:val="3B4B1B15"/>
    <w:rsid w:val="3D50111D"/>
    <w:rsid w:val="40501FE2"/>
    <w:rsid w:val="42EE0296"/>
    <w:rsid w:val="434F1139"/>
    <w:rsid w:val="44072507"/>
    <w:rsid w:val="4454640C"/>
    <w:rsid w:val="4526185C"/>
    <w:rsid w:val="48F03FCA"/>
    <w:rsid w:val="4BEC30FF"/>
    <w:rsid w:val="50FF1D9E"/>
    <w:rsid w:val="536B0F53"/>
    <w:rsid w:val="549A6F16"/>
    <w:rsid w:val="557F67C9"/>
    <w:rsid w:val="568309DA"/>
    <w:rsid w:val="5A557556"/>
    <w:rsid w:val="5B01766F"/>
    <w:rsid w:val="5BE81F86"/>
    <w:rsid w:val="5DED30D5"/>
    <w:rsid w:val="5F4336FC"/>
    <w:rsid w:val="5FE45AD4"/>
    <w:rsid w:val="60CB15DE"/>
    <w:rsid w:val="60F41482"/>
    <w:rsid w:val="61E43811"/>
    <w:rsid w:val="61EA24BE"/>
    <w:rsid w:val="685903DD"/>
    <w:rsid w:val="68E17904"/>
    <w:rsid w:val="69380A02"/>
    <w:rsid w:val="69FF0789"/>
    <w:rsid w:val="6AF1556B"/>
    <w:rsid w:val="6CCC7755"/>
    <w:rsid w:val="6CD12778"/>
    <w:rsid w:val="6D3B7FCE"/>
    <w:rsid w:val="6DE87D15"/>
    <w:rsid w:val="6F5419CE"/>
    <w:rsid w:val="6F553ECA"/>
    <w:rsid w:val="71A34D60"/>
    <w:rsid w:val="7502605E"/>
    <w:rsid w:val="751B70F9"/>
    <w:rsid w:val="75CB4BAE"/>
    <w:rsid w:val="764F5187"/>
    <w:rsid w:val="7D9C6F8A"/>
    <w:rsid w:val="7FCC0BC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仿宋_GB2312" w:cstheme="minorBidi"/>
      <w:color w:val="000000"/>
      <w:sz w:val="32"/>
      <w:szCs w:val="24"/>
      <w:lang w:val="en-US" w:eastAsia="zh-CN" w:bidi="ar-SA"/>
    </w:rPr>
  </w:style>
  <w:style w:type="paragraph" w:styleId="2">
    <w:name w:val="heading 1"/>
    <w:basedOn w:val="1"/>
    <w:next w:val="1"/>
    <w:link w:val="23"/>
    <w:qFormat/>
    <w:uiPriority w:val="0"/>
    <w:pPr>
      <w:keepNext/>
      <w:keepLines/>
      <w:spacing w:line="560" w:lineRule="exact"/>
      <w:ind w:firstLine="0" w:firstLineChars="0"/>
      <w:jc w:val="center"/>
      <w:outlineLvl w:val="0"/>
    </w:pPr>
    <w:rPr>
      <w:rFonts w:ascii="Times New Roman" w:hAnsi="Times New Roman"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Times New Roman" w:hAnsi="Times New Roman" w:eastAsia="黑体"/>
    </w:rPr>
  </w:style>
  <w:style w:type="paragraph" w:styleId="4">
    <w:name w:val="heading 3"/>
    <w:basedOn w:val="1"/>
    <w:next w:val="1"/>
    <w:link w:val="22"/>
    <w:unhideWhenUsed/>
    <w:qFormat/>
    <w:uiPriority w:val="0"/>
    <w:pPr>
      <w:keepNext/>
      <w:keepLines/>
      <w:spacing w:beforeLines="0" w:beforeAutospacing="0" w:afterLines="0" w:afterAutospacing="0" w:line="560" w:lineRule="exact"/>
      <w:outlineLvl w:val="2"/>
    </w:pPr>
    <w:rPr>
      <w:rFonts w:ascii="Times New Roman" w:hAnsi="Times New Roman" w:eastAsia="楷体_GB2312"/>
    </w:rPr>
  </w:style>
  <w:style w:type="character" w:default="1" w:styleId="8">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1"/>
    <w:qFormat/>
    <w:uiPriority w:val="0"/>
    <w:rPr>
      <w:sz w:val="18"/>
      <w:szCs w:val="18"/>
    </w:rPr>
  </w:style>
  <w:style w:type="paragraph" w:styleId="6">
    <w:name w:val="footer"/>
    <w:basedOn w:val="1"/>
    <w:qFormat/>
    <w:uiPriority w:val="0"/>
    <w:pPr>
      <w:tabs>
        <w:tab w:val="center" w:pos="4153"/>
        <w:tab w:val="right" w:pos="8306"/>
      </w:tabs>
      <w:jc w:val="left"/>
    </w:pPr>
    <w:rPr>
      <w:kern w:val="1"/>
      <w:sz w:val="18"/>
      <w:szCs w:val="18"/>
      <w:lang w:val="zh-CN"/>
    </w:rPr>
  </w:style>
  <w:style w:type="paragraph" w:styleId="7">
    <w:name w:val="header"/>
    <w:basedOn w:val="1"/>
    <w:qFormat/>
    <w:uiPriority w:val="0"/>
    <w:pPr>
      <w:pBdr>
        <w:bottom w:val="single" w:color="000000" w:sz="6" w:space="1"/>
      </w:pBdr>
      <w:tabs>
        <w:tab w:val="center" w:pos="4153"/>
        <w:tab w:val="right" w:pos="8306"/>
      </w:tabs>
      <w:jc w:val="center"/>
    </w:pPr>
    <w:rPr>
      <w:kern w:val="1"/>
      <w:sz w:val="18"/>
      <w:szCs w:val="18"/>
    </w:rPr>
  </w:style>
  <w:style w:type="character" w:styleId="9">
    <w:name w:val="Strong"/>
    <w:basedOn w:val="8"/>
    <w:qFormat/>
    <w:uiPriority w:val="0"/>
  </w:style>
  <w:style w:type="character" w:styleId="10">
    <w:name w:val="Emphasis"/>
    <w:basedOn w:val="8"/>
    <w:qFormat/>
    <w:uiPriority w:val="0"/>
  </w:style>
  <w:style w:type="character" w:styleId="11">
    <w:name w:val="HTML Definition"/>
    <w:basedOn w:val="8"/>
    <w:qFormat/>
    <w:uiPriority w:val="0"/>
  </w:style>
  <w:style w:type="character" w:styleId="12">
    <w:name w:val="HTML Acronym"/>
    <w:basedOn w:val="8"/>
    <w:qFormat/>
    <w:uiPriority w:val="0"/>
  </w:style>
  <w:style w:type="character" w:styleId="13">
    <w:name w:val="HTML Variable"/>
    <w:basedOn w:val="8"/>
    <w:qFormat/>
    <w:uiPriority w:val="0"/>
  </w:style>
  <w:style w:type="character" w:styleId="14">
    <w:name w:val="HTML Code"/>
    <w:basedOn w:val="8"/>
    <w:qFormat/>
    <w:uiPriority w:val="0"/>
    <w:rPr>
      <w:rFonts w:ascii="Courier New" w:hAnsi="Courier New"/>
      <w:sz w:val="20"/>
    </w:rPr>
  </w:style>
  <w:style w:type="character" w:styleId="15">
    <w:name w:val="HTML Cite"/>
    <w:basedOn w:val="8"/>
    <w:qFormat/>
    <w:uiPriority w:val="0"/>
  </w:style>
  <w:style w:type="paragraph" w:customStyle="1" w:styleId="17">
    <w:name w:val="p0"/>
    <w:basedOn w:val="1"/>
    <w:qFormat/>
    <w:uiPriority w:val="0"/>
    <w:pPr>
      <w:widowControl/>
    </w:pPr>
    <w:rPr>
      <w:rFonts w:cs="宋体"/>
      <w:color w:val="auto"/>
      <w:szCs w:val="21"/>
    </w:rPr>
  </w:style>
  <w:style w:type="paragraph" w:customStyle="1" w:styleId="18">
    <w:name w:val="样式1"/>
    <w:basedOn w:val="2"/>
    <w:qFormat/>
    <w:uiPriority w:val="0"/>
    <w:rPr>
      <w:rFonts w:eastAsia="华文中宋"/>
    </w:rPr>
  </w:style>
  <w:style w:type="character" w:customStyle="1" w:styleId="19">
    <w:name w:val="d_q1"/>
    <w:basedOn w:val="8"/>
    <w:qFormat/>
    <w:uiPriority w:val="0"/>
  </w:style>
  <w:style w:type="character" w:customStyle="1" w:styleId="20">
    <w:name w:val="red1"/>
    <w:basedOn w:val="8"/>
    <w:qFormat/>
    <w:uiPriority w:val="0"/>
    <w:rPr>
      <w:color w:val="FF0000"/>
    </w:rPr>
  </w:style>
  <w:style w:type="character" w:customStyle="1" w:styleId="21">
    <w:name w:val="批注框文本 Char"/>
    <w:basedOn w:val="8"/>
    <w:link w:val="5"/>
    <w:qFormat/>
    <w:uiPriority w:val="0"/>
    <w:rPr>
      <w:rFonts w:eastAsia="出口信心指数" w:asciiTheme="minorHAnsi" w:hAnsiTheme="minorHAnsi" w:cstheme="minorBidi"/>
      <w:color w:val="000000"/>
      <w:sz w:val="18"/>
      <w:szCs w:val="18"/>
    </w:rPr>
  </w:style>
  <w:style w:type="character" w:customStyle="1" w:styleId="22">
    <w:name w:val="标题 3 Char1"/>
    <w:link w:val="4"/>
    <w:uiPriority w:val="0"/>
    <w:rPr>
      <w:rFonts w:ascii="Times New Roman" w:hAnsi="Times New Roman" w:eastAsia="楷体_GB2312"/>
    </w:rPr>
  </w:style>
  <w:style w:type="character" w:customStyle="1" w:styleId="23">
    <w:name w:val="标题 1 Char"/>
    <w:link w:val="2"/>
    <w:uiPriority w:val="0"/>
    <w:rPr>
      <w:rFonts w:ascii="Times New Roman" w:hAnsi="Times New Roman" w:eastAsia="方正小标宋简体"/>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4464;&#23493;&#38190;\2017&#24180;3&#26376;\&#30417;&#27979;&#20998;&#26512;&#22270;&#34920;2017&#24180;3&#263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4464;&#23493;&#38190;\2017&#24180;3&#26376;\&#30417;&#27979;&#20998;&#26512;&#22270;&#34920;2017&#24180;3&#263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[监测分析图表2017年3月.xls]企业信心指数!$K$51:$K$65</c:f>
              <c:strCache>
                <c:ptCount val="15"/>
                <c:pt idx="0" c:formatCode="yyyy&quot;年&quot;m&quot;月&quot;">
                  <c:v>2016年1月</c:v>
                </c:pt>
                <c:pt idx="1">
                  <c:v>2月</c:v>
                </c:pt>
                <c:pt idx="2">
                  <c:v>3月</c:v>
                </c:pt>
                <c:pt idx="3">
                  <c:v>4月</c:v>
                </c:pt>
                <c:pt idx="4">
                  <c:v>5月</c:v>
                </c:pt>
                <c:pt idx="5">
                  <c:v>6月</c:v>
                </c:pt>
                <c:pt idx="6">
                  <c:v>7月</c:v>
                </c:pt>
                <c:pt idx="7">
                  <c:v>8月</c:v>
                </c:pt>
                <c:pt idx="8">
                  <c:v>9月</c:v>
                </c:pt>
                <c:pt idx="9">
                  <c:v>10月</c:v>
                </c:pt>
                <c:pt idx="10">
                  <c:v>11月</c:v>
                </c:pt>
                <c:pt idx="11">
                  <c:v>12月</c:v>
                </c:pt>
                <c:pt idx="12" c:formatCode="yyyy&quot;年&quot;m&quot;月&quot;">
                  <c:v>2017年1月</c:v>
                </c:pt>
                <c:pt idx="13">
                  <c:v>2月</c:v>
                </c:pt>
                <c:pt idx="14">
                  <c:v>3月</c:v>
                </c:pt>
              </c:strCache>
            </c:strRef>
          </c:cat>
          <c:val>
            <c:numRef>
              <c:f>[监测分析图表2017年3月.xls]企业信心指数!$L$51:$L$65</c:f>
              <c:numCache>
                <c:formatCode>General</c:formatCode>
                <c:ptCount val="15"/>
                <c:pt idx="0">
                  <c:v>92.3</c:v>
                </c:pt>
                <c:pt idx="1">
                  <c:v>93.7</c:v>
                </c:pt>
                <c:pt idx="2">
                  <c:v>96.6</c:v>
                </c:pt>
                <c:pt idx="3">
                  <c:v>95.7</c:v>
                </c:pt>
                <c:pt idx="4">
                  <c:v>94</c:v>
                </c:pt>
                <c:pt idx="5">
                  <c:v>91.4</c:v>
                </c:pt>
                <c:pt idx="6">
                  <c:v>92.9</c:v>
                </c:pt>
                <c:pt idx="7">
                  <c:v>95.9</c:v>
                </c:pt>
                <c:pt idx="8">
                  <c:v>94</c:v>
                </c:pt>
                <c:pt idx="9">
                  <c:v>91.2</c:v>
                </c:pt>
                <c:pt idx="10">
                  <c:v>93.1</c:v>
                </c:pt>
                <c:pt idx="11">
                  <c:v>96.5</c:v>
                </c:pt>
                <c:pt idx="12">
                  <c:v>104.8</c:v>
                </c:pt>
                <c:pt idx="13">
                  <c:v>104.4</c:v>
                </c:pt>
                <c:pt idx="14">
                  <c:v>106.7</c:v>
                </c:pt>
              </c:numCache>
            </c:numRef>
          </c:val>
          <c:smooth val="0"/>
        </c:ser>
        <c:dLbls>
          <c:showLegendKey val="0"/>
          <c:showVal val="0"/>
          <c:showCatName val="0"/>
          <c:showSerName val="0"/>
          <c:showPercent val="0"/>
          <c:showBubbleSize val="0"/>
        </c:dLbls>
        <c:marker val="1"/>
        <c:smooth val="0"/>
        <c:axId val="30859905"/>
        <c:axId val="702522297"/>
      </c:lineChart>
      <c:catAx>
        <c:axId val="3085990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702522297"/>
        <c:crosses val="autoZero"/>
        <c:auto val="1"/>
        <c:lblAlgn val="ctr"/>
        <c:lblOffset val="100"/>
        <c:noMultiLvlLbl val="0"/>
      </c:catAx>
      <c:valAx>
        <c:axId val="702522297"/>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200" b="1" i="0" u="none" strike="noStrike" kern="1200" baseline="0">
                <a:solidFill>
                  <a:schemeClr val="tx1">
                    <a:lumMod val="65000"/>
                    <a:lumOff val="35000"/>
                  </a:schemeClr>
                </a:solidFill>
                <a:latin typeface="+mn-lt"/>
                <a:ea typeface="+mn-ea"/>
                <a:cs typeface="+mn-cs"/>
              </a:defRPr>
            </a:pPr>
          </a:p>
        </c:txPr>
        <c:crossAx val="30859905"/>
        <c:crosses val="autoZero"/>
        <c:crossBetween val="between"/>
      </c:valAx>
      <c:spPr>
        <a:noFill/>
        <a:ln>
          <a:noFill/>
        </a:ln>
        <a:effectLst/>
      </c:spPr>
    </c:plotArea>
    <c:plotVisOnly val="1"/>
    <c:dispBlanksAs val="zero"/>
    <c:showDLblsOverMax val="0"/>
  </c:chart>
  <c:spPr>
    <a:solidFill>
      <a:schemeClr val="bg1"/>
    </a:solidFill>
    <a:ln w="12700" cap="flat" cmpd="sng" algn="ctr">
      <a:solidFill>
        <a:schemeClr val="tx1"/>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876640419948"/>
          <c:y val="0.0650406504065041"/>
          <c:w val="0.789317585301837"/>
          <c:h val="0.545458768873403"/>
        </c:manualLayout>
      </c:layout>
      <c:barChart>
        <c:barDir val="col"/>
        <c:grouping val="clustered"/>
        <c:varyColors val="0"/>
        <c:ser>
          <c:idx val="0"/>
          <c:order val="0"/>
          <c:tx>
            <c:strRef>
              <c:f>[监测分析图表2017年3月.xls]主要出口市场!$AC$56</c:f>
              <c:strCache>
                <c:ptCount val="1"/>
                <c:pt idx="0">
                  <c:v>2016年3月</c:v>
                </c:pt>
              </c:strCache>
            </c:strRef>
          </c:tx>
          <c:spPr>
            <a:solidFill>
              <a:schemeClr val="accent2">
                <a:lumMod val="75000"/>
              </a:schemeClr>
            </a:solidFill>
            <a:ln>
              <a:noFill/>
            </a:ln>
            <a:effectLst/>
          </c:spPr>
          <c:invertIfNegative val="0"/>
          <c:dLbls>
            <c:delete val="1"/>
          </c:dLbls>
          <c:cat>
            <c:strRef>
              <c:f>[监测分析图表2017年3月.xls]主要出口市场!$AB$57:$AB$64</c:f>
              <c:strCache>
                <c:ptCount val="8"/>
                <c:pt idx="0">
                  <c:v>香港</c:v>
                </c:pt>
                <c:pt idx="1">
                  <c:v>东盟</c:v>
                </c:pt>
                <c:pt idx="2">
                  <c:v>日本</c:v>
                </c:pt>
                <c:pt idx="3">
                  <c:v>美国</c:v>
                </c:pt>
                <c:pt idx="4">
                  <c:v>拉美与非洲</c:v>
                </c:pt>
                <c:pt idx="5">
                  <c:v>中东</c:v>
                </c:pt>
                <c:pt idx="6">
                  <c:v>欧盟</c:v>
                </c:pt>
                <c:pt idx="7">
                  <c:v>俄罗斯</c:v>
                </c:pt>
              </c:strCache>
            </c:strRef>
          </c:cat>
          <c:val>
            <c:numRef>
              <c:f>[监测分析图表2017年3月.xls]主要出口市场!$AC$57:$AC$64</c:f>
              <c:numCache>
                <c:formatCode>General</c:formatCode>
                <c:ptCount val="8"/>
                <c:pt idx="0">
                  <c:v>81.6</c:v>
                </c:pt>
                <c:pt idx="1">
                  <c:v>79.3</c:v>
                </c:pt>
                <c:pt idx="2">
                  <c:v>79</c:v>
                </c:pt>
                <c:pt idx="3">
                  <c:v>78.8</c:v>
                </c:pt>
                <c:pt idx="4">
                  <c:v>78.8</c:v>
                </c:pt>
                <c:pt idx="5">
                  <c:v>76.7</c:v>
                </c:pt>
                <c:pt idx="6">
                  <c:v>75.8</c:v>
                </c:pt>
                <c:pt idx="7">
                  <c:v>72.6</c:v>
                </c:pt>
              </c:numCache>
            </c:numRef>
          </c:val>
        </c:ser>
        <c:ser>
          <c:idx val="1"/>
          <c:order val="1"/>
          <c:tx>
            <c:strRef>
              <c:f>[监测分析图表2017年3月.xls]主要出口市场!$AD$56</c:f>
              <c:strCache>
                <c:ptCount val="1"/>
                <c:pt idx="0">
                  <c:v>2017年3月</c:v>
                </c:pt>
              </c:strCache>
            </c:strRef>
          </c:tx>
          <c:spPr>
            <a:solidFill>
              <a:schemeClr val="accent1">
                <a:lumMod val="75000"/>
              </a:schemeClr>
            </a:solidFill>
            <a:ln>
              <a:noFill/>
            </a:ln>
            <a:effectLst/>
          </c:spPr>
          <c:invertIfNegative val="0"/>
          <c:dLbls>
            <c:delete val="1"/>
          </c:dLbls>
          <c:cat>
            <c:strRef>
              <c:f>[监测分析图表2017年3月.xls]主要出口市场!$AB$57:$AB$64</c:f>
              <c:strCache>
                <c:ptCount val="8"/>
                <c:pt idx="0">
                  <c:v>香港</c:v>
                </c:pt>
                <c:pt idx="1">
                  <c:v>东盟</c:v>
                </c:pt>
                <c:pt idx="2">
                  <c:v>日本</c:v>
                </c:pt>
                <c:pt idx="3">
                  <c:v>美国</c:v>
                </c:pt>
                <c:pt idx="4">
                  <c:v>拉美与非洲</c:v>
                </c:pt>
                <c:pt idx="5">
                  <c:v>中东</c:v>
                </c:pt>
                <c:pt idx="6">
                  <c:v>欧盟</c:v>
                </c:pt>
                <c:pt idx="7">
                  <c:v>俄罗斯</c:v>
                </c:pt>
              </c:strCache>
            </c:strRef>
          </c:cat>
          <c:val>
            <c:numRef>
              <c:f>[监测分析图表2017年3月.xls]主要出口市场!$AD$57:$AD$64</c:f>
              <c:numCache>
                <c:formatCode>General</c:formatCode>
                <c:ptCount val="8"/>
                <c:pt idx="0">
                  <c:v>84</c:v>
                </c:pt>
                <c:pt idx="1">
                  <c:v>83.5</c:v>
                </c:pt>
                <c:pt idx="2">
                  <c:v>81.6</c:v>
                </c:pt>
                <c:pt idx="3">
                  <c:v>84.2</c:v>
                </c:pt>
                <c:pt idx="4">
                  <c:v>83.5</c:v>
                </c:pt>
                <c:pt idx="5">
                  <c:v>81.6</c:v>
                </c:pt>
                <c:pt idx="6">
                  <c:v>83.4</c:v>
                </c:pt>
                <c:pt idx="7">
                  <c:v>81.9</c:v>
                </c:pt>
              </c:numCache>
            </c:numRef>
          </c:val>
        </c:ser>
        <c:dLbls>
          <c:showLegendKey val="0"/>
          <c:showVal val="0"/>
          <c:showCatName val="0"/>
          <c:showSerName val="0"/>
          <c:showPercent val="0"/>
          <c:showBubbleSize val="0"/>
        </c:dLbls>
        <c:gapWidth val="219"/>
        <c:overlap val="-27"/>
        <c:axId val="217523976"/>
        <c:axId val="743684142"/>
      </c:barChart>
      <c:catAx>
        <c:axId val="2175239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3684142"/>
        <c:crosses val="autoZero"/>
        <c:auto val="1"/>
        <c:lblAlgn val="ctr"/>
        <c:lblOffset val="100"/>
        <c:noMultiLvlLbl val="0"/>
      </c:catAx>
      <c:valAx>
        <c:axId val="74368414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crossAx val="21752397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rgbClr val="000000"/>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温州市商务局</Company>
  <Pages>6</Pages>
  <Words>312</Words>
  <Characters>1780</Characters>
  <Lines>14</Lines>
  <Paragraphs>4</Paragraphs>
  <ScaleCrop>false</ScaleCrop>
  <LinksUpToDate>false</LinksUpToDate>
  <CharactersWithSpaces>2088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2016-10-08T03:27:00Z</dcterms:created>
  <dc:creator>Administrator</dc:creator>
  <cp:lastModifiedBy>Administrator</cp:lastModifiedBy>
  <cp:lastPrinted>2017-03-02T07:55:00Z</cp:lastPrinted>
  <dcterms:modified xsi:type="dcterms:W3CDTF">2017-04-07T02:55:46Z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